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4596" w14:textId="77777777" w:rsidR="00477538" w:rsidRPr="00E238D9" w:rsidRDefault="00477538" w:rsidP="00477538">
      <w:pPr>
        <w:widowControl w:val="0"/>
        <w:autoSpaceDE w:val="0"/>
        <w:autoSpaceDN w:val="0"/>
        <w:adjustRightInd w:val="0"/>
        <w:spacing w:after="240" w:line="300" w:lineRule="atLeast"/>
        <w:jc w:val="left"/>
        <w:rPr>
          <w:rFonts w:ascii="Times" w:eastAsiaTheme="minorEastAsia" w:hAnsi="Times" w:cs="Times"/>
          <w:color w:val="auto"/>
          <w:sz w:val="40"/>
          <w:szCs w:val="40"/>
        </w:rPr>
      </w:pPr>
      <w:r>
        <w:rPr>
          <w:rFonts w:ascii="Times" w:eastAsiaTheme="minorEastAsia" w:hAnsi="Times" w:cs="Times"/>
          <w:noProof/>
          <w:color w:val="auto"/>
          <w:sz w:val="24"/>
          <w:szCs w:val="24"/>
          <w:lang w:eastAsia="fr-FR"/>
        </w:rPr>
        <w:drawing>
          <wp:anchor distT="0" distB="0" distL="114300" distR="114300" simplePos="0" relativeHeight="251658240" behindDoc="0" locked="0" layoutInCell="1" allowOverlap="1" wp14:anchorId="6EA1BE5C" wp14:editId="4E10D099">
            <wp:simplePos x="0" y="0"/>
            <wp:positionH relativeFrom="column">
              <wp:posOffset>-114300</wp:posOffset>
            </wp:positionH>
            <wp:positionV relativeFrom="paragraph">
              <wp:posOffset>-342900</wp:posOffset>
            </wp:positionV>
            <wp:extent cx="942340" cy="1364615"/>
            <wp:effectExtent l="0" t="0" r="0" b="6985"/>
            <wp:wrapTight wrapText="bothSides">
              <wp:wrapPolygon edited="0">
                <wp:start x="0" y="0"/>
                <wp:lineTo x="0" y="21309"/>
                <wp:lineTo x="20960" y="21309"/>
                <wp:lineTo x="209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34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EastAsia" w:hAnsi="Arial" w:cs="Arial"/>
          <w:color w:val="FD9B09"/>
          <w:sz w:val="26"/>
          <w:szCs w:val="26"/>
        </w:rPr>
        <w:t xml:space="preserve">Pages : 31 sur 50 </w:t>
      </w:r>
      <w:r>
        <w:rPr>
          <w:rFonts w:ascii="Times" w:eastAsiaTheme="minorEastAsia" w:hAnsi="Times" w:cs="Times"/>
          <w:color w:val="auto"/>
          <w:sz w:val="24"/>
          <w:szCs w:val="24"/>
        </w:rPr>
        <w:tab/>
      </w:r>
      <w:r>
        <w:rPr>
          <w:rFonts w:ascii="Times" w:eastAsiaTheme="minorEastAsia" w:hAnsi="Times" w:cs="Times"/>
          <w:color w:val="auto"/>
          <w:sz w:val="24"/>
          <w:szCs w:val="24"/>
        </w:rPr>
        <w:tab/>
      </w:r>
      <w:r>
        <w:rPr>
          <w:rFonts w:ascii="Times" w:eastAsiaTheme="minorEastAsia" w:hAnsi="Times" w:cs="Times"/>
          <w:color w:val="FFFFFF"/>
          <w:sz w:val="150"/>
          <w:szCs w:val="150"/>
        </w:rPr>
        <w:t> </w:t>
      </w:r>
      <w:r w:rsidRPr="00E238D9">
        <w:rPr>
          <w:rFonts w:ascii="Verdana" w:eastAsiaTheme="minorEastAsia" w:hAnsi="Verdana" w:cs="Verdana"/>
          <w:color w:val="56298B"/>
          <w:sz w:val="40"/>
          <w:szCs w:val="40"/>
        </w:rPr>
        <w:t xml:space="preserve">Ressources maternelle </w:t>
      </w:r>
    </w:p>
    <w:p w14:paraId="102B6C01" w14:textId="77777777" w:rsidR="00477538" w:rsidRPr="00E238D9" w:rsidRDefault="00477538" w:rsidP="00477538">
      <w:pPr>
        <w:widowControl w:val="0"/>
        <w:autoSpaceDE w:val="0"/>
        <w:autoSpaceDN w:val="0"/>
        <w:adjustRightInd w:val="0"/>
        <w:spacing w:after="240" w:line="580" w:lineRule="atLeast"/>
        <w:jc w:val="left"/>
        <w:rPr>
          <w:rFonts w:ascii="Times" w:eastAsiaTheme="minorEastAsia" w:hAnsi="Times" w:cs="Times"/>
          <w:color w:val="auto"/>
          <w:sz w:val="40"/>
          <w:szCs w:val="40"/>
        </w:rPr>
      </w:pPr>
      <w:r w:rsidRPr="00E238D9">
        <w:rPr>
          <w:rFonts w:ascii="Verdana" w:eastAsiaTheme="minorEastAsia" w:hAnsi="Verdana" w:cs="Verdana"/>
          <w:color w:val="56298B"/>
          <w:sz w:val="40"/>
          <w:szCs w:val="40"/>
        </w:rPr>
        <w:t xml:space="preserve">Évaluation : construire les premiers outils pour structurer sa pensée </w:t>
      </w:r>
    </w:p>
    <w:p w14:paraId="6CDB140A" w14:textId="77777777" w:rsidR="00477538" w:rsidRPr="00E238D9" w:rsidRDefault="00477538" w:rsidP="00E238D9">
      <w:pPr>
        <w:widowControl w:val="0"/>
        <w:autoSpaceDE w:val="0"/>
        <w:autoSpaceDN w:val="0"/>
        <w:adjustRightInd w:val="0"/>
        <w:spacing w:after="240" w:line="800" w:lineRule="atLeast"/>
        <w:jc w:val="left"/>
        <w:rPr>
          <w:rFonts w:ascii="Times" w:eastAsiaTheme="minorEastAsia" w:hAnsi="Times" w:cs="Times"/>
          <w:color w:val="auto"/>
          <w:sz w:val="14"/>
          <w:szCs w:val="24"/>
        </w:rPr>
      </w:pPr>
      <w:r w:rsidRPr="00E238D9">
        <w:rPr>
          <w:rFonts w:ascii="Verdana" w:eastAsiaTheme="minorEastAsia" w:hAnsi="Verdana" w:cs="Verdana"/>
          <w:color w:val="3424A5"/>
          <w:sz w:val="56"/>
          <w:szCs w:val="66"/>
        </w:rPr>
        <w:t xml:space="preserve">Construire le nombre pour exprimer des quantités </w:t>
      </w:r>
    </w:p>
    <w:p w14:paraId="2B9CADE2" w14:textId="77777777" w:rsidR="00477538" w:rsidRDefault="00477538" w:rsidP="00477538">
      <w:pPr>
        <w:widowControl w:val="0"/>
        <w:autoSpaceDE w:val="0"/>
        <w:autoSpaceDN w:val="0"/>
        <w:adjustRightInd w:val="0"/>
        <w:spacing w:line="280" w:lineRule="atLeast"/>
        <w:jc w:val="left"/>
        <w:rPr>
          <w:rFonts w:ascii="Times" w:eastAsiaTheme="minorEastAsia" w:hAnsi="Times" w:cs="Times"/>
          <w:color w:val="auto"/>
          <w:sz w:val="24"/>
          <w:szCs w:val="24"/>
        </w:rPr>
      </w:pPr>
    </w:p>
    <w:tbl>
      <w:tblPr>
        <w:tblW w:w="10774" w:type="dxa"/>
        <w:tblInd w:w="-318" w:type="dxa"/>
        <w:tblBorders>
          <w:top w:val="nil"/>
          <w:left w:val="nil"/>
          <w:right w:val="nil"/>
        </w:tblBorders>
        <w:tblLayout w:type="fixed"/>
        <w:tblLook w:val="0000" w:firstRow="0" w:lastRow="0" w:firstColumn="0" w:lastColumn="0" w:noHBand="0" w:noVBand="0"/>
      </w:tblPr>
      <w:tblGrid>
        <w:gridCol w:w="3261"/>
        <w:gridCol w:w="5670"/>
        <w:gridCol w:w="1843"/>
      </w:tblGrid>
      <w:tr w:rsidR="00477538" w14:paraId="7EF98545" w14:textId="77777777" w:rsidTr="00E238D9">
        <w:tblPrEx>
          <w:tblCellMar>
            <w:top w:w="0" w:type="dxa"/>
            <w:bottom w:w="0" w:type="dxa"/>
          </w:tblCellMar>
        </w:tblPrEx>
        <w:tc>
          <w:tcPr>
            <w:tcW w:w="3261" w:type="dxa"/>
            <w:tcBorders>
              <w:top w:val="single" w:sz="10" w:space="0" w:color="55288B"/>
              <w:left w:val="single" w:sz="11" w:space="0" w:color="56298A"/>
              <w:bottom w:val="single" w:sz="10" w:space="0" w:color="55288B"/>
              <w:right w:val="single" w:sz="11" w:space="0" w:color="56288B"/>
            </w:tcBorders>
            <w:shd w:val="clear" w:color="auto" w:fill="CCBFDC"/>
            <w:tcMar>
              <w:top w:w="20" w:type="nil"/>
              <w:left w:w="20" w:type="nil"/>
              <w:bottom w:w="20" w:type="nil"/>
              <w:right w:w="20" w:type="nil"/>
            </w:tcMar>
            <w:vAlign w:val="center"/>
          </w:tcPr>
          <w:p w14:paraId="34C78075"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Objectif(s) visé(s) : </w:t>
            </w:r>
          </w:p>
        </w:tc>
        <w:tc>
          <w:tcPr>
            <w:tcW w:w="7513" w:type="dxa"/>
            <w:gridSpan w:val="2"/>
            <w:tcBorders>
              <w:top w:val="single" w:sz="10" w:space="0" w:color="56298B"/>
              <w:left w:val="single" w:sz="11" w:space="0" w:color="56288B"/>
              <w:bottom w:val="single" w:sz="10" w:space="0" w:color="56298B"/>
              <w:right w:val="single" w:sz="10" w:space="0" w:color="562A8A"/>
            </w:tcBorders>
            <w:shd w:val="clear" w:color="auto" w:fill="CCBFDC"/>
            <w:tcMar>
              <w:top w:w="20" w:type="nil"/>
              <w:left w:w="20" w:type="nil"/>
              <w:bottom w:w="20" w:type="nil"/>
              <w:right w:w="20" w:type="nil"/>
            </w:tcMar>
            <w:vAlign w:val="center"/>
          </w:tcPr>
          <w:p w14:paraId="6497DBAC" w14:textId="77777777" w:rsidR="00477538"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Pr>
                <w:rFonts w:ascii="Times" w:eastAsiaTheme="minorEastAsia" w:hAnsi="Times" w:cs="Times"/>
                <w:noProof/>
                <w:color w:val="auto"/>
                <w:sz w:val="24"/>
                <w:szCs w:val="24"/>
                <w:lang w:eastAsia="fr-FR"/>
              </w:rPr>
              <w:drawing>
                <wp:inline distT="0" distB="0" distL="0" distR="0" wp14:anchorId="761F5D1D" wp14:editId="2C441214">
                  <wp:extent cx="13970" cy="139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30D34727"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Ce qui est attendu des enfants en fin d’école maternelle : </w:t>
            </w:r>
          </w:p>
          <w:p w14:paraId="345D6BB3" w14:textId="77777777" w:rsidR="00477538"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Pr>
                <w:rFonts w:ascii="Times" w:eastAsiaTheme="minorEastAsia" w:hAnsi="Times" w:cs="Times"/>
                <w:noProof/>
                <w:color w:val="auto"/>
                <w:sz w:val="24"/>
                <w:szCs w:val="24"/>
                <w:lang w:eastAsia="fr-FR"/>
              </w:rPr>
              <w:drawing>
                <wp:inline distT="0" distB="0" distL="0" distR="0" wp14:anchorId="4A765C83" wp14:editId="39C7DFDD">
                  <wp:extent cx="13970" cy="139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eastAsiaTheme="minorEastAsia" w:hAnsi="Times" w:cs="Times"/>
                <w:color w:val="auto"/>
                <w:sz w:val="24"/>
                <w:szCs w:val="24"/>
              </w:rPr>
              <w:t xml:space="preserve"> </w:t>
            </w:r>
          </w:p>
        </w:tc>
      </w:tr>
      <w:tr w:rsidR="00477538" w14:paraId="3F6F1A2B" w14:textId="77777777" w:rsidTr="00E238D9">
        <w:tblPrEx>
          <w:tblCellMar>
            <w:top w:w="0" w:type="dxa"/>
            <w:bottom w:w="0" w:type="dxa"/>
          </w:tblCellMar>
        </w:tblPrEx>
        <w:tc>
          <w:tcPr>
            <w:tcW w:w="3261"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457AA0B3"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Construire le nombre pour exprimer des quantités. </w:t>
            </w:r>
          </w:p>
        </w:tc>
        <w:tc>
          <w:tcPr>
            <w:tcW w:w="7513" w:type="dxa"/>
            <w:gridSpan w:val="2"/>
            <w:tcBorders>
              <w:top w:val="single" w:sz="10" w:space="0" w:color="56298B"/>
              <w:left w:val="single" w:sz="11" w:space="0" w:color="auto"/>
              <w:bottom w:val="single" w:sz="10" w:space="0" w:color="auto"/>
              <w:right w:val="single" w:sz="10" w:space="0" w:color="auto"/>
            </w:tcBorders>
            <w:tcMar>
              <w:top w:w="20" w:type="nil"/>
              <w:left w:w="20" w:type="nil"/>
              <w:bottom w:w="20" w:type="nil"/>
              <w:right w:w="20" w:type="nil"/>
            </w:tcMar>
            <w:vAlign w:val="center"/>
          </w:tcPr>
          <w:p w14:paraId="0C73DDF4"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Évaluer et comparer des collections d’objets avec des procédures non numériques. </w:t>
            </w:r>
          </w:p>
          <w:p w14:paraId="541694D5"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Mobiliser des symboles analogiques, verbaux pour communiquer des informations orales sur une quantité. </w:t>
            </w:r>
          </w:p>
          <w:p w14:paraId="01589C41"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Avoir compris que le cardinal (ici la quantité) ne change pas si on modifie la disposition spatiale ou la nature des éléments. </w:t>
            </w:r>
          </w:p>
        </w:tc>
      </w:tr>
      <w:tr w:rsidR="00477538" w14:paraId="4C3CE0CB" w14:textId="77777777" w:rsidTr="00E238D9">
        <w:tblPrEx>
          <w:tblCellMar>
            <w:top w:w="0" w:type="dxa"/>
            <w:bottom w:w="0" w:type="dxa"/>
          </w:tblCellMar>
        </w:tblPrEx>
        <w:tc>
          <w:tcPr>
            <w:tcW w:w="3261" w:type="dxa"/>
            <w:tcBorders>
              <w:top w:val="single" w:sz="10" w:space="0" w:color="55288B"/>
              <w:left w:val="single" w:sz="11" w:space="0" w:color="562A8A"/>
              <w:bottom w:val="single" w:sz="10" w:space="0" w:color="55288B"/>
              <w:right w:val="single" w:sz="11" w:space="0" w:color="562A8A"/>
            </w:tcBorders>
            <w:shd w:val="clear" w:color="auto" w:fill="CCBFDC"/>
            <w:tcMar>
              <w:top w:w="20" w:type="nil"/>
              <w:left w:w="20" w:type="nil"/>
              <w:bottom w:w="20" w:type="nil"/>
              <w:right w:w="20" w:type="nil"/>
            </w:tcMar>
            <w:vAlign w:val="center"/>
          </w:tcPr>
          <w:p w14:paraId="244BB213"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L’enseignant observe que l’enfant commence à réussir ou réussit régulièrement à... </w:t>
            </w:r>
          </w:p>
        </w:tc>
        <w:tc>
          <w:tcPr>
            <w:tcW w:w="5670"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06FB48AA"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Contexte, circonstances, dispositifs, activités... </w:t>
            </w:r>
          </w:p>
        </w:tc>
        <w:tc>
          <w:tcPr>
            <w:tcW w:w="1843" w:type="dxa"/>
            <w:tcBorders>
              <w:top w:val="single" w:sz="10" w:space="0" w:color="55288B"/>
              <w:left w:val="single" w:sz="10" w:space="0" w:color="55298B"/>
              <w:bottom w:val="single" w:sz="10" w:space="0" w:color="55288B"/>
              <w:right w:val="single" w:sz="10" w:space="0" w:color="55298B"/>
            </w:tcBorders>
            <w:shd w:val="clear" w:color="auto" w:fill="CCBFDC"/>
            <w:tcMar>
              <w:top w:w="20" w:type="nil"/>
              <w:left w:w="20" w:type="nil"/>
              <w:bottom w:w="20" w:type="nil"/>
              <w:right w:w="20" w:type="nil"/>
            </w:tcMar>
            <w:vAlign w:val="center"/>
          </w:tcPr>
          <w:p w14:paraId="711F595A" w14:textId="77777777" w:rsidR="00477538"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Pr>
                <w:rFonts w:ascii="Times" w:eastAsiaTheme="minorEastAsia" w:hAnsi="Times" w:cs="Times"/>
                <w:noProof/>
                <w:color w:val="auto"/>
                <w:sz w:val="24"/>
                <w:szCs w:val="24"/>
                <w:lang w:eastAsia="fr-FR"/>
              </w:rPr>
              <w:drawing>
                <wp:inline distT="0" distB="0" distL="0" distR="0" wp14:anchorId="43E3E5B2" wp14:editId="18EFB149">
                  <wp:extent cx="13970" cy="1397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5AB3C95B" w14:textId="77777777" w:rsidR="00477538"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6"/>
                <w:szCs w:val="26"/>
              </w:rPr>
              <w:t xml:space="preserve">Pour les apprentissages suivants... </w:t>
            </w:r>
          </w:p>
          <w:p w14:paraId="3E40850C" w14:textId="77777777" w:rsidR="00477538"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Pr>
                <w:rFonts w:ascii="Times" w:eastAsiaTheme="minorEastAsia" w:hAnsi="Times" w:cs="Times"/>
                <w:noProof/>
                <w:color w:val="auto"/>
                <w:sz w:val="24"/>
                <w:szCs w:val="24"/>
                <w:lang w:eastAsia="fr-FR"/>
              </w:rPr>
              <w:drawing>
                <wp:inline distT="0" distB="0" distL="0" distR="0" wp14:anchorId="3E710C45" wp14:editId="11F0893D">
                  <wp:extent cx="13970" cy="139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eastAsiaTheme="minorEastAsia" w:hAnsi="Times" w:cs="Times"/>
                <w:color w:val="auto"/>
                <w:sz w:val="24"/>
                <w:szCs w:val="24"/>
              </w:rPr>
              <w:t xml:space="preserve"> </w:t>
            </w:r>
          </w:p>
        </w:tc>
      </w:tr>
      <w:tr w:rsidR="00477538" w14:paraId="55C6CE11" w14:textId="77777777" w:rsidTr="00E238D9">
        <w:tblPrEx>
          <w:tblCellMar>
            <w:top w:w="0" w:type="dxa"/>
            <w:bottom w:w="0" w:type="dxa"/>
          </w:tblCellMar>
        </w:tblPrEx>
        <w:trPr>
          <w:trHeight w:val="5499"/>
        </w:trPr>
        <w:tc>
          <w:tcPr>
            <w:tcW w:w="3261"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5688B7DE"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lastRenderedPageBreak/>
              <w:t xml:space="preserve">• estimer des quantités de façon approximative Ex : beaucoup/pas beaucoup... ; </w:t>
            </w:r>
          </w:p>
          <w:p w14:paraId="56029D9C"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 réaliser une correspondance terme à terme pour comparer. </w:t>
            </w:r>
          </w:p>
          <w:p w14:paraId="3D653AF8"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 produire une collection de même cardinal qu’une autre. </w:t>
            </w:r>
          </w:p>
          <w:p w14:paraId="6F941901" w14:textId="77777777" w:rsidR="00477538" w:rsidRDefault="00477538" w:rsidP="00E238D9">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 Comparer des collections organisées de manière différente dans l’espace pour trouver celles qui sont équipotentes (qui ont le même cardinal), pour déterminer celles qui ont plus ou moins d’éléments qu’une collection donnée. </w:t>
            </w:r>
          </w:p>
        </w:tc>
        <w:tc>
          <w:tcPr>
            <w:tcW w:w="5670"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1F901E32"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Dans des situations de jeux, ou de résolution de problèmes qui font sens, qui intègrent des variables telles que la taille des collections, la nature des objets et leur organisation spatiale et qui visent à la construction et à l’entraînement de procédures en s’appuyant sur les interactions langagières. </w:t>
            </w:r>
          </w:p>
          <w:p w14:paraId="76E32E1E"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Nombreuses situations de manipulation permettant à l’enfant de verbaliser ce qu’il a fait. </w:t>
            </w:r>
          </w:p>
          <w:p w14:paraId="046D1975"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Situations dans lesquelles on travaillera avec les mêmes variables que précédemment, plus une autre : caractère déplaçable ou non des objets constituant les collections. </w:t>
            </w:r>
          </w:p>
          <w:p w14:paraId="687647FC"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Mise en œuvre et identification de procédures possibles : correspondance terme à terme, construction de collections témoins (doigts, dés, objets...) sans utiliser le nombre. </w:t>
            </w:r>
          </w:p>
        </w:tc>
        <w:tc>
          <w:tcPr>
            <w:tcW w:w="1843" w:type="dxa"/>
            <w:tcBorders>
              <w:top w:val="single" w:sz="10" w:space="0" w:color="55288B"/>
              <w:left w:val="single" w:sz="10" w:space="0" w:color="auto"/>
              <w:bottom w:val="single" w:sz="10" w:space="0" w:color="auto"/>
              <w:right w:val="single" w:sz="10" w:space="0" w:color="auto"/>
            </w:tcBorders>
            <w:tcMar>
              <w:top w:w="20" w:type="nil"/>
              <w:left w:w="20" w:type="nil"/>
              <w:bottom w:w="20" w:type="nil"/>
              <w:right w:w="20" w:type="nil"/>
            </w:tcMar>
            <w:vAlign w:val="center"/>
          </w:tcPr>
          <w:p w14:paraId="1CB48E61" w14:textId="77777777" w:rsidR="00477538"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Comparer des collections afin de familiariser les élèves avec les quantités. </w:t>
            </w:r>
          </w:p>
        </w:tc>
      </w:tr>
    </w:tbl>
    <w:p w14:paraId="46DC502C" w14:textId="77777777" w:rsidR="00477538" w:rsidRDefault="00477538" w:rsidP="00477538">
      <w:pPr>
        <w:widowControl w:val="0"/>
        <w:autoSpaceDE w:val="0"/>
        <w:autoSpaceDN w:val="0"/>
        <w:adjustRightInd w:val="0"/>
        <w:spacing w:line="280" w:lineRule="atLeast"/>
        <w:jc w:val="left"/>
        <w:rPr>
          <w:rFonts w:ascii="Times" w:eastAsiaTheme="minorEastAsia" w:hAnsi="Times" w:cs="Times"/>
          <w:color w:val="auto"/>
          <w:sz w:val="24"/>
          <w:szCs w:val="24"/>
        </w:rPr>
      </w:pPr>
    </w:p>
    <w:p w14:paraId="0CFC7457" w14:textId="77777777" w:rsidR="00E238D9" w:rsidRDefault="00E238D9">
      <w:pPr>
        <w:jc w:val="left"/>
        <w:rPr>
          <w:rFonts w:ascii="Verdana" w:eastAsiaTheme="minorEastAsia" w:hAnsi="Verdana" w:cs="Verdana"/>
          <w:color w:val="56298B"/>
          <w:sz w:val="40"/>
          <w:szCs w:val="48"/>
        </w:rPr>
      </w:pPr>
      <w:r>
        <w:rPr>
          <w:rFonts w:ascii="Verdana" w:eastAsiaTheme="minorEastAsia" w:hAnsi="Verdana" w:cs="Verdana"/>
          <w:color w:val="56298B"/>
          <w:sz w:val="40"/>
          <w:szCs w:val="48"/>
        </w:rPr>
        <w:br w:type="page"/>
      </w:r>
    </w:p>
    <w:p w14:paraId="4C07E49A" w14:textId="77777777" w:rsidR="00477538" w:rsidRPr="00E238D9" w:rsidRDefault="00477538" w:rsidP="00E238D9">
      <w:pPr>
        <w:widowControl w:val="0"/>
        <w:autoSpaceDE w:val="0"/>
        <w:autoSpaceDN w:val="0"/>
        <w:adjustRightInd w:val="0"/>
        <w:spacing w:after="240" w:line="700" w:lineRule="atLeast"/>
        <w:jc w:val="left"/>
        <w:rPr>
          <w:rFonts w:ascii="Times" w:eastAsiaTheme="minorEastAsia" w:hAnsi="Times" w:cs="Times"/>
          <w:b/>
          <w:color w:val="auto"/>
          <w:sz w:val="2"/>
          <w:szCs w:val="24"/>
        </w:rPr>
      </w:pPr>
      <w:r w:rsidRPr="00E238D9">
        <w:rPr>
          <w:rFonts w:ascii="Verdana" w:eastAsiaTheme="minorEastAsia" w:hAnsi="Verdana" w:cs="Verdana"/>
          <w:b/>
          <w:color w:val="3424A5"/>
          <w:sz w:val="36"/>
          <w:szCs w:val="58"/>
        </w:rPr>
        <w:t xml:space="preserve">Stabiliser la connaissance des petits nombres </w:t>
      </w:r>
    </w:p>
    <w:tbl>
      <w:tblPr>
        <w:tblW w:w="10774" w:type="dxa"/>
        <w:tblInd w:w="-318" w:type="dxa"/>
        <w:tblBorders>
          <w:top w:val="nil"/>
          <w:left w:val="nil"/>
          <w:right w:val="nil"/>
        </w:tblBorders>
        <w:tblLayout w:type="fixed"/>
        <w:tblLook w:val="0000" w:firstRow="0" w:lastRow="0" w:firstColumn="0" w:lastColumn="0" w:noHBand="0" w:noVBand="0"/>
      </w:tblPr>
      <w:tblGrid>
        <w:gridCol w:w="3403"/>
        <w:gridCol w:w="5103"/>
        <w:gridCol w:w="2268"/>
      </w:tblGrid>
      <w:tr w:rsidR="00477538" w:rsidRPr="00E238D9" w14:paraId="2601E9EC" w14:textId="77777777" w:rsidTr="00E238D9">
        <w:tblPrEx>
          <w:tblCellMar>
            <w:top w:w="0" w:type="dxa"/>
            <w:bottom w:w="0" w:type="dxa"/>
          </w:tblCellMar>
        </w:tblPrEx>
        <w:trPr>
          <w:gridAfter w:val="1"/>
          <w:wAfter w:w="2268" w:type="dxa"/>
        </w:trPr>
        <w:tc>
          <w:tcPr>
            <w:tcW w:w="3403" w:type="dxa"/>
            <w:tcBorders>
              <w:top w:val="single" w:sz="10" w:space="0" w:color="55288B"/>
              <w:left w:val="single" w:sz="11" w:space="0" w:color="56298A"/>
              <w:bottom w:val="single" w:sz="10" w:space="0" w:color="55288B"/>
              <w:right w:val="single" w:sz="11" w:space="0" w:color="56288B"/>
            </w:tcBorders>
            <w:shd w:val="clear" w:color="auto" w:fill="CCBFDC"/>
            <w:tcMar>
              <w:top w:w="20" w:type="nil"/>
              <w:left w:w="20" w:type="nil"/>
              <w:bottom w:w="20" w:type="nil"/>
              <w:right w:w="20" w:type="nil"/>
            </w:tcMar>
            <w:vAlign w:val="center"/>
          </w:tcPr>
          <w:p w14:paraId="65D9CE38"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Objectif(s) visé(s) : </w:t>
            </w:r>
          </w:p>
        </w:tc>
        <w:tc>
          <w:tcPr>
            <w:tcW w:w="5103" w:type="dxa"/>
            <w:tcBorders>
              <w:top w:val="single" w:sz="10" w:space="0" w:color="56298B"/>
              <w:left w:val="single" w:sz="11" w:space="0" w:color="56288B"/>
              <w:bottom w:val="single" w:sz="10" w:space="0" w:color="56298B"/>
              <w:right w:val="single" w:sz="10" w:space="0" w:color="562A8A"/>
            </w:tcBorders>
            <w:shd w:val="clear" w:color="auto" w:fill="CCBFDC"/>
            <w:tcMar>
              <w:top w:w="20" w:type="nil"/>
              <w:left w:w="20" w:type="nil"/>
              <w:bottom w:w="20" w:type="nil"/>
              <w:right w:w="20" w:type="nil"/>
            </w:tcMar>
            <w:vAlign w:val="center"/>
          </w:tcPr>
          <w:p w14:paraId="6FC93838"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53CD984A" wp14:editId="11583264">
                  <wp:extent cx="13970" cy="1397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157EC28B"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Ce qui est attendu des enfants en fin d’école maternelle : </w:t>
            </w:r>
          </w:p>
          <w:p w14:paraId="3AFA0E43"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7F91E231" wp14:editId="1A9F7707">
                  <wp:extent cx="13970" cy="1397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238D9">
              <w:rPr>
                <w:rFonts w:ascii="Times" w:eastAsiaTheme="minorEastAsia" w:hAnsi="Times" w:cs="Times"/>
                <w:color w:val="auto"/>
                <w:sz w:val="22"/>
                <w:szCs w:val="24"/>
              </w:rPr>
              <w:t xml:space="preserve"> </w:t>
            </w:r>
          </w:p>
        </w:tc>
      </w:tr>
      <w:tr w:rsidR="00477538" w:rsidRPr="00E238D9" w14:paraId="690467DE" w14:textId="77777777" w:rsidTr="00E238D9">
        <w:tblPrEx>
          <w:tblCellMar>
            <w:top w:w="0" w:type="dxa"/>
            <w:bottom w:w="0" w:type="dxa"/>
          </w:tblCellMar>
        </w:tblPrEx>
        <w:trPr>
          <w:gridAfter w:val="1"/>
          <w:wAfter w:w="2268" w:type="dxa"/>
        </w:trPr>
        <w:tc>
          <w:tcPr>
            <w:tcW w:w="3403"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3277C473"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Stabiliser la connaissance des petits nombres. </w:t>
            </w:r>
          </w:p>
        </w:tc>
        <w:tc>
          <w:tcPr>
            <w:tcW w:w="5103" w:type="dxa"/>
            <w:tcBorders>
              <w:top w:val="single" w:sz="10" w:space="0" w:color="56298B"/>
              <w:left w:val="single" w:sz="11" w:space="0" w:color="auto"/>
              <w:bottom w:val="single" w:sz="10" w:space="0" w:color="auto"/>
              <w:right w:val="single" w:sz="10" w:space="0" w:color="auto"/>
            </w:tcBorders>
            <w:tcMar>
              <w:top w:w="20" w:type="nil"/>
              <w:left w:w="20" w:type="nil"/>
              <w:bottom w:w="20" w:type="nil"/>
              <w:right w:w="20" w:type="nil"/>
            </w:tcMar>
            <w:vAlign w:val="center"/>
          </w:tcPr>
          <w:p w14:paraId="37B82EB8"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Réaliser une collection dont le cardinal est donné ; </w:t>
            </w:r>
          </w:p>
          <w:p w14:paraId="2FE51280"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Utiliser le dénombrement pour constituer une collection d’une taille donnée ou pour réaliser une collection de quantité égale à la collection proposée ; </w:t>
            </w:r>
          </w:p>
          <w:p w14:paraId="0203812F"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Avoir compris que tout nombre s’obtient en ajoutant un au nombre précédent et que cela correspond à l’ajout d’une unité à la quantité précédente ; </w:t>
            </w:r>
          </w:p>
          <w:p w14:paraId="5B7FA2E4"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Quantifier des collections jusqu’à dix au moins ; les composer et les décomposer par manipulation effective puis mentale. Dire combien il faut ajouter ou enlever pour obtenir des quantités ne dépassant pas dix ; </w:t>
            </w:r>
          </w:p>
          <w:p w14:paraId="4A98F539"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Parler des nombres à l’aide de leur décomposition. </w:t>
            </w:r>
          </w:p>
        </w:tc>
      </w:tr>
      <w:tr w:rsidR="00E238D9" w:rsidRPr="00E238D9" w14:paraId="3907B773" w14:textId="77777777" w:rsidTr="00E238D9">
        <w:tblPrEx>
          <w:tblCellMar>
            <w:top w:w="0" w:type="dxa"/>
            <w:bottom w:w="0" w:type="dxa"/>
          </w:tblCellMar>
        </w:tblPrEx>
        <w:tc>
          <w:tcPr>
            <w:tcW w:w="3403" w:type="dxa"/>
            <w:tcBorders>
              <w:top w:val="single" w:sz="11"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69119985"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L’enseignant observe que l’enfant commence à réussir ou réussit régulièrement à... </w:t>
            </w:r>
          </w:p>
        </w:tc>
        <w:tc>
          <w:tcPr>
            <w:tcW w:w="5103" w:type="dxa"/>
            <w:tcBorders>
              <w:top w:val="single" w:sz="11" w:space="0" w:color="55288B"/>
              <w:left w:val="single" w:sz="10" w:space="0" w:color="55298B"/>
              <w:bottom w:val="single" w:sz="10" w:space="0" w:color="55288B"/>
              <w:right w:val="single" w:sz="10" w:space="0" w:color="55298B"/>
            </w:tcBorders>
            <w:shd w:val="clear" w:color="auto" w:fill="CCBFDC"/>
            <w:tcMar>
              <w:top w:w="20" w:type="nil"/>
              <w:left w:w="20" w:type="nil"/>
              <w:bottom w:w="20" w:type="nil"/>
              <w:right w:w="20" w:type="nil"/>
            </w:tcMar>
            <w:vAlign w:val="center"/>
          </w:tcPr>
          <w:p w14:paraId="633B7668"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Contexte, circonstances, dispositifs, activités... </w:t>
            </w:r>
          </w:p>
        </w:tc>
        <w:tc>
          <w:tcPr>
            <w:tcW w:w="2268" w:type="dxa"/>
            <w:tcBorders>
              <w:top w:val="single" w:sz="11" w:space="0" w:color="55288B"/>
              <w:left w:val="single" w:sz="10" w:space="0" w:color="55298B"/>
              <w:bottom w:val="single" w:sz="10" w:space="0" w:color="55288B"/>
              <w:right w:val="single" w:sz="10" w:space="0" w:color="55298B"/>
            </w:tcBorders>
            <w:shd w:val="clear" w:color="auto" w:fill="CCBFDC"/>
            <w:tcMar>
              <w:top w:w="20" w:type="nil"/>
              <w:left w:w="20" w:type="nil"/>
              <w:bottom w:w="20" w:type="nil"/>
              <w:right w:w="20" w:type="nil"/>
            </w:tcMar>
            <w:vAlign w:val="center"/>
          </w:tcPr>
          <w:p w14:paraId="7B3A4D9E"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72A5F984" wp14:editId="64624313">
                  <wp:extent cx="13970" cy="1397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06C09E70" w14:textId="77777777" w:rsidR="00477538" w:rsidRPr="00E238D9" w:rsidRDefault="00477538" w:rsidP="00E238D9">
            <w:pPr>
              <w:widowControl w:val="0"/>
              <w:autoSpaceDE w:val="0"/>
              <w:autoSpaceDN w:val="0"/>
              <w:adjustRightInd w:val="0"/>
              <w:spacing w:after="240" w:line="300" w:lineRule="atLeast"/>
              <w:ind w:right="168"/>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Pour les apprentissages suivants... </w:t>
            </w:r>
          </w:p>
          <w:p w14:paraId="268AE1DE"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28B40F23" wp14:editId="1EB58663">
                  <wp:extent cx="13970" cy="1397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238D9">
              <w:rPr>
                <w:rFonts w:ascii="Times" w:eastAsiaTheme="minorEastAsia" w:hAnsi="Times" w:cs="Times"/>
                <w:color w:val="auto"/>
                <w:sz w:val="22"/>
                <w:szCs w:val="24"/>
              </w:rPr>
              <w:t xml:space="preserve"> </w:t>
            </w:r>
          </w:p>
        </w:tc>
      </w:tr>
      <w:tr w:rsidR="00E238D9" w:rsidRPr="00E238D9" w14:paraId="52A71D99" w14:textId="77777777" w:rsidTr="00E238D9">
        <w:tblPrEx>
          <w:tblCellMar>
            <w:top w:w="0" w:type="dxa"/>
            <w:bottom w:w="0" w:type="dxa"/>
          </w:tblCellMar>
        </w:tblPrEx>
        <w:tc>
          <w:tcPr>
            <w:tcW w:w="3403"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78157A49"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donner, montrer, prendre une quantité demandée d’éléments. </w:t>
            </w:r>
          </w:p>
        </w:tc>
        <w:tc>
          <w:tcPr>
            <w:tcW w:w="5103" w:type="dxa"/>
            <w:tcBorders>
              <w:top w:val="single" w:sz="10" w:space="0" w:color="55288B"/>
              <w:left w:val="single" w:sz="10" w:space="0" w:color="auto"/>
              <w:bottom w:val="single" w:sz="10" w:space="0" w:color="auto"/>
              <w:right w:val="single" w:sz="10" w:space="0" w:color="auto"/>
            </w:tcBorders>
            <w:tcMar>
              <w:top w:w="20" w:type="nil"/>
              <w:left w:w="20" w:type="nil"/>
              <w:bottom w:w="20" w:type="nil"/>
              <w:right w:w="20" w:type="nil"/>
            </w:tcMar>
            <w:vAlign w:val="center"/>
          </w:tcPr>
          <w:p w14:paraId="6B01359B"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Activités qui privilégient la perception spontanée des petites quantités jusqu’à trois. </w:t>
            </w:r>
          </w:p>
          <w:p w14:paraId="28727B83"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Activités de constitution et d’appariement de collections (inférieures ou égales à 10) avec des quantités énoncées de différentes façons par l’enseignant (ex : 7 ou « 5 et encore 2 », ou « 6 et encore 1 » ou « 3 et encore 3 et encore 1 »). </w:t>
            </w:r>
          </w:p>
        </w:tc>
        <w:tc>
          <w:tcPr>
            <w:tcW w:w="2268" w:type="dxa"/>
            <w:tcBorders>
              <w:top w:val="single" w:sz="10" w:space="0" w:color="55288B"/>
              <w:left w:val="single" w:sz="10" w:space="0" w:color="auto"/>
              <w:bottom w:val="single" w:sz="10" w:space="0" w:color="auto"/>
              <w:right w:val="single" w:sz="10" w:space="0" w:color="auto"/>
            </w:tcBorders>
            <w:tcMar>
              <w:top w:w="20" w:type="nil"/>
              <w:left w:w="20" w:type="nil"/>
              <w:bottom w:w="20" w:type="nil"/>
              <w:right w:w="20" w:type="nil"/>
            </w:tcMar>
            <w:vAlign w:val="center"/>
          </w:tcPr>
          <w:p w14:paraId="4AF92256"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Constituer des collections. </w:t>
            </w:r>
          </w:p>
        </w:tc>
      </w:tr>
    </w:tbl>
    <w:p w14:paraId="7027670C" w14:textId="77777777" w:rsidR="00477538" w:rsidRPr="00E238D9" w:rsidRDefault="00477538" w:rsidP="00477538">
      <w:pPr>
        <w:widowControl w:val="0"/>
        <w:autoSpaceDE w:val="0"/>
        <w:autoSpaceDN w:val="0"/>
        <w:adjustRightInd w:val="0"/>
        <w:spacing w:after="240" w:line="300" w:lineRule="atLeast"/>
        <w:jc w:val="left"/>
        <w:rPr>
          <w:rFonts w:ascii="Times" w:eastAsiaTheme="minorEastAsia" w:hAnsi="Times" w:cs="Times"/>
          <w:color w:val="auto"/>
          <w:sz w:val="22"/>
          <w:szCs w:val="24"/>
        </w:rPr>
      </w:pPr>
    </w:p>
    <w:tbl>
      <w:tblPr>
        <w:tblW w:w="10774" w:type="dxa"/>
        <w:tblInd w:w="-318" w:type="dxa"/>
        <w:tblBorders>
          <w:top w:val="nil"/>
          <w:left w:val="nil"/>
          <w:right w:val="nil"/>
        </w:tblBorders>
        <w:tblLayout w:type="fixed"/>
        <w:tblLook w:val="0000" w:firstRow="0" w:lastRow="0" w:firstColumn="0" w:lastColumn="0" w:noHBand="0" w:noVBand="0"/>
      </w:tblPr>
      <w:tblGrid>
        <w:gridCol w:w="3970"/>
        <w:gridCol w:w="4961"/>
        <w:gridCol w:w="1843"/>
      </w:tblGrid>
      <w:tr w:rsidR="00E238D9" w:rsidRPr="00E238D9" w14:paraId="0EDBA6D0" w14:textId="77777777" w:rsidTr="00E238D9">
        <w:tblPrEx>
          <w:tblCellMar>
            <w:top w:w="0" w:type="dxa"/>
            <w:bottom w:w="0" w:type="dxa"/>
          </w:tblCellMar>
        </w:tblPrEx>
        <w:tc>
          <w:tcPr>
            <w:tcW w:w="3970" w:type="dxa"/>
            <w:tcBorders>
              <w:top w:val="single" w:sz="10" w:space="0" w:color="55288B"/>
              <w:left w:val="single" w:sz="11" w:space="0" w:color="56298B"/>
              <w:bottom w:val="single" w:sz="10" w:space="0" w:color="55288B"/>
              <w:right w:val="single" w:sz="11" w:space="0" w:color="562A8A"/>
            </w:tcBorders>
            <w:shd w:val="clear" w:color="auto" w:fill="CCBFDC"/>
            <w:tcMar>
              <w:top w:w="20" w:type="nil"/>
              <w:left w:w="20" w:type="nil"/>
              <w:bottom w:w="20" w:type="nil"/>
              <w:right w:w="20" w:type="nil"/>
            </w:tcMar>
            <w:vAlign w:val="center"/>
          </w:tcPr>
          <w:p w14:paraId="32A929DA"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L’enseignant observe que l’enfant commence à réussir ou réussit régulièrement à... </w:t>
            </w:r>
          </w:p>
        </w:tc>
        <w:tc>
          <w:tcPr>
            <w:tcW w:w="4961" w:type="dxa"/>
            <w:tcBorders>
              <w:top w:val="single" w:sz="10" w:space="0" w:color="55288B"/>
              <w:left w:val="single" w:sz="11" w:space="0" w:color="562A8A"/>
              <w:bottom w:val="single" w:sz="10" w:space="0" w:color="55288B"/>
              <w:right w:val="single" w:sz="11" w:space="0" w:color="562A8A"/>
            </w:tcBorders>
            <w:shd w:val="clear" w:color="auto" w:fill="CCBFDC"/>
            <w:tcMar>
              <w:top w:w="20" w:type="nil"/>
              <w:left w:w="20" w:type="nil"/>
              <w:bottom w:w="20" w:type="nil"/>
              <w:right w:w="20" w:type="nil"/>
            </w:tcMar>
            <w:vAlign w:val="center"/>
          </w:tcPr>
          <w:p w14:paraId="1EB758A7"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Contexte, circonstances, dispositifs, activités... </w:t>
            </w:r>
          </w:p>
        </w:tc>
        <w:tc>
          <w:tcPr>
            <w:tcW w:w="1843"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7AD0CAF1"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34F1412F" wp14:editId="265E6AEA">
                  <wp:extent cx="13970" cy="1397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37067C4F" w14:textId="77777777" w:rsidR="00477538" w:rsidRPr="00E238D9" w:rsidRDefault="00477538" w:rsidP="00E238D9">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Pour les apprentissages suivants... </w:t>
            </w:r>
          </w:p>
        </w:tc>
      </w:tr>
      <w:tr w:rsidR="00E238D9" w:rsidRPr="00E238D9" w14:paraId="0786E3F0" w14:textId="77777777" w:rsidTr="00E238D9">
        <w:tblPrEx>
          <w:tblBorders>
            <w:top w:val="none" w:sz="0" w:space="0" w:color="auto"/>
          </w:tblBorders>
          <w:tblCellMar>
            <w:top w:w="0" w:type="dxa"/>
            <w:bottom w:w="0" w:type="dxa"/>
          </w:tblCellMar>
        </w:tblPrEx>
        <w:tc>
          <w:tcPr>
            <w:tcW w:w="3970"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1B9B3150"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constituer des groupements afin de réaliser des collections en réponse à une demande. </w:t>
            </w:r>
          </w:p>
          <w:p w14:paraId="2BBF82EF"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constituer une collection en utilisant le comptage. </w:t>
            </w:r>
          </w:p>
        </w:tc>
        <w:tc>
          <w:tcPr>
            <w:tcW w:w="4961"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6D0EDF7E"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Évolution vers : </w:t>
            </w:r>
          </w:p>
          <w:p w14:paraId="6EA0C85A"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l’ajout successif d’unités (« un, et un, et encore un : trois » ou « deux et un, trois »), en augmentant progressivement la taille des collections ; </w:t>
            </w:r>
          </w:p>
          <w:p w14:paraId="29330DF9"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l’utilisation des groupements (exemple : «trois et deux» pour constituer une collection de cinq éléments) ; </w:t>
            </w:r>
          </w:p>
          <w:p w14:paraId="26ABC4E1"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l’utilisation du comptage. </w:t>
            </w:r>
          </w:p>
          <w:p w14:paraId="26ACA0CA"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Collections jusqu’à cinq entre deux et quatre ans et jusqu’à dix après quatre ans. </w:t>
            </w:r>
          </w:p>
        </w:tc>
        <w:tc>
          <w:tcPr>
            <w:tcW w:w="1843"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47A12FF0"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Constituer des collections avec comptage (avec les mots– nombres). </w:t>
            </w:r>
          </w:p>
          <w:p w14:paraId="0DB8D9C4"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Compléter une collection. </w:t>
            </w:r>
          </w:p>
        </w:tc>
      </w:tr>
      <w:tr w:rsidR="00E238D9" w:rsidRPr="00E238D9" w14:paraId="58B6671C" w14:textId="77777777" w:rsidTr="00E238D9">
        <w:tblPrEx>
          <w:tblCellMar>
            <w:top w:w="0" w:type="dxa"/>
            <w:bottom w:w="0" w:type="dxa"/>
          </w:tblCellMar>
        </w:tblPrEx>
        <w:trPr>
          <w:trHeight w:val="399"/>
        </w:trPr>
        <w:tc>
          <w:tcPr>
            <w:tcW w:w="3970"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5CE31659"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dire le mot nombre correspondant au cardinal d’une collection proposée ; </w:t>
            </w:r>
          </w:p>
          <w:p w14:paraId="0EDD3BF6"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dire le mot-nombre correspondant au cardinal d’une collection (précédemment dénombrée) à laquelle, en présence de l’enfant, l’enseignant ajoute ou retire un ou plusieurs éléments. </w:t>
            </w:r>
          </w:p>
          <w:p w14:paraId="585207DC"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 verbaliser la décomposition du nombre : Ex : « 5 c’est 3 et 2 ». </w:t>
            </w:r>
          </w:p>
        </w:tc>
        <w:tc>
          <w:tcPr>
            <w:tcW w:w="4961"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5E04654D"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Activités favorisant la composition et la décomposition d’une collection avec deux collections distinctes. </w:t>
            </w:r>
          </w:p>
        </w:tc>
        <w:tc>
          <w:tcPr>
            <w:tcW w:w="1843"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69AF27C4"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0F384763" wp14:editId="7D17532A">
                  <wp:extent cx="13970" cy="1397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7F958083" w14:textId="77777777" w:rsidR="00477538" w:rsidRPr="00E238D9" w:rsidRDefault="00477538">
            <w:pPr>
              <w:widowControl w:val="0"/>
              <w:autoSpaceDE w:val="0"/>
              <w:autoSpaceDN w:val="0"/>
              <w:adjustRightInd w:val="0"/>
              <w:spacing w:after="240" w:line="300" w:lineRule="atLeast"/>
              <w:jc w:val="left"/>
              <w:rPr>
                <w:rFonts w:ascii="Times" w:eastAsiaTheme="minorEastAsia" w:hAnsi="Times" w:cs="Times"/>
                <w:color w:val="auto"/>
                <w:sz w:val="22"/>
                <w:szCs w:val="24"/>
              </w:rPr>
            </w:pPr>
            <w:r w:rsidRPr="00E238D9">
              <w:rPr>
                <w:rFonts w:ascii="Arial" w:eastAsiaTheme="minorEastAsia" w:hAnsi="Arial" w:cs="Arial"/>
                <w:color w:val="auto"/>
                <w:sz w:val="24"/>
                <w:szCs w:val="26"/>
              </w:rPr>
              <w:t xml:space="preserve">Composer, décomposer une quantité. </w:t>
            </w:r>
          </w:p>
          <w:p w14:paraId="25701A87" w14:textId="77777777" w:rsidR="00477538" w:rsidRPr="00E238D9" w:rsidRDefault="00477538">
            <w:pPr>
              <w:widowControl w:val="0"/>
              <w:autoSpaceDE w:val="0"/>
              <w:autoSpaceDN w:val="0"/>
              <w:adjustRightInd w:val="0"/>
              <w:spacing w:line="280" w:lineRule="atLeast"/>
              <w:jc w:val="left"/>
              <w:rPr>
                <w:rFonts w:ascii="Times" w:eastAsiaTheme="minorEastAsia" w:hAnsi="Times" w:cs="Times"/>
                <w:color w:val="auto"/>
                <w:sz w:val="22"/>
                <w:szCs w:val="24"/>
              </w:rPr>
            </w:pPr>
            <w:r w:rsidRPr="00E238D9">
              <w:rPr>
                <w:rFonts w:ascii="Times" w:eastAsiaTheme="minorEastAsia" w:hAnsi="Times" w:cs="Times"/>
                <w:noProof/>
                <w:color w:val="auto"/>
                <w:sz w:val="22"/>
                <w:szCs w:val="24"/>
                <w:lang w:eastAsia="fr-FR"/>
              </w:rPr>
              <w:drawing>
                <wp:inline distT="0" distB="0" distL="0" distR="0" wp14:anchorId="02DE66ED" wp14:editId="291F3E88">
                  <wp:extent cx="13970" cy="1397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238D9">
              <w:rPr>
                <w:rFonts w:ascii="Times" w:eastAsiaTheme="minorEastAsia" w:hAnsi="Times" w:cs="Times"/>
                <w:color w:val="auto"/>
                <w:sz w:val="22"/>
                <w:szCs w:val="24"/>
              </w:rPr>
              <w:t xml:space="preserve"> </w:t>
            </w:r>
          </w:p>
        </w:tc>
      </w:tr>
    </w:tbl>
    <w:p w14:paraId="6D4C58B6" w14:textId="77777777" w:rsidR="008E29E4" w:rsidRDefault="008E29E4" w:rsidP="008E29E4">
      <w:pPr>
        <w:widowControl w:val="0"/>
        <w:autoSpaceDE w:val="0"/>
        <w:autoSpaceDN w:val="0"/>
        <w:adjustRightInd w:val="0"/>
        <w:spacing w:line="0" w:lineRule="atLeast"/>
        <w:ind w:left="-284"/>
        <w:jc w:val="left"/>
        <w:rPr>
          <w:rFonts w:ascii="Verdana" w:eastAsiaTheme="minorEastAsia" w:hAnsi="Verdana" w:cs="Verdana"/>
          <w:color w:val="56298B"/>
          <w:sz w:val="48"/>
          <w:szCs w:val="48"/>
        </w:rPr>
      </w:pPr>
    </w:p>
    <w:p w14:paraId="44EB90DE" w14:textId="77777777" w:rsidR="008E29E4" w:rsidRDefault="008E29E4">
      <w:pPr>
        <w:jc w:val="left"/>
        <w:rPr>
          <w:rFonts w:ascii="Verdana" w:eastAsiaTheme="minorEastAsia" w:hAnsi="Verdana" w:cs="Verdana"/>
          <w:color w:val="56298B"/>
          <w:sz w:val="48"/>
          <w:szCs w:val="48"/>
        </w:rPr>
      </w:pPr>
      <w:r>
        <w:rPr>
          <w:rFonts w:ascii="Verdana" w:eastAsiaTheme="minorEastAsia" w:hAnsi="Verdana" w:cs="Verdana"/>
          <w:color w:val="56298B"/>
          <w:sz w:val="48"/>
          <w:szCs w:val="48"/>
        </w:rPr>
        <w:br w:type="page"/>
      </w:r>
    </w:p>
    <w:p w14:paraId="0F81DAF8" w14:textId="24F422E6" w:rsidR="008E29E4" w:rsidRDefault="00477538" w:rsidP="008E29E4">
      <w:pPr>
        <w:widowControl w:val="0"/>
        <w:autoSpaceDE w:val="0"/>
        <w:autoSpaceDN w:val="0"/>
        <w:adjustRightInd w:val="0"/>
        <w:spacing w:line="0" w:lineRule="atLeast"/>
        <w:ind w:left="-284"/>
        <w:jc w:val="left"/>
        <w:rPr>
          <w:rFonts w:ascii="Verdana" w:eastAsiaTheme="minorEastAsia" w:hAnsi="Verdana" w:cs="Verdana"/>
          <w:b/>
          <w:color w:val="3424A5"/>
          <w:sz w:val="34"/>
          <w:szCs w:val="66"/>
        </w:rPr>
      </w:pPr>
      <w:r w:rsidRPr="00E238D9">
        <w:rPr>
          <w:rFonts w:ascii="Verdana" w:eastAsiaTheme="minorEastAsia" w:hAnsi="Verdana" w:cs="Verdana"/>
          <w:b/>
          <w:color w:val="3424A5"/>
          <w:sz w:val="34"/>
          <w:szCs w:val="66"/>
        </w:rPr>
        <w:t>Utiliser le nombre pour désigner un rang, une position</w:t>
      </w:r>
    </w:p>
    <w:p w14:paraId="783B36BD" w14:textId="77777777" w:rsidR="00D143D5" w:rsidRPr="00D143D5" w:rsidRDefault="00D143D5" w:rsidP="008E29E4">
      <w:pPr>
        <w:widowControl w:val="0"/>
        <w:autoSpaceDE w:val="0"/>
        <w:autoSpaceDN w:val="0"/>
        <w:adjustRightInd w:val="0"/>
        <w:spacing w:line="0" w:lineRule="atLeast"/>
        <w:ind w:left="-284"/>
        <w:jc w:val="left"/>
        <w:rPr>
          <w:rFonts w:ascii="Verdana" w:eastAsiaTheme="minorEastAsia" w:hAnsi="Verdana" w:cs="Verdana"/>
          <w:b/>
          <w:color w:val="3424A5"/>
          <w:sz w:val="16"/>
          <w:szCs w:val="66"/>
        </w:rPr>
      </w:pPr>
    </w:p>
    <w:p w14:paraId="0078A6C1" w14:textId="03BA0562" w:rsidR="00477538" w:rsidRPr="008E29E4" w:rsidRDefault="00477538" w:rsidP="008E29E4">
      <w:pPr>
        <w:widowControl w:val="0"/>
        <w:autoSpaceDE w:val="0"/>
        <w:autoSpaceDN w:val="0"/>
        <w:adjustRightInd w:val="0"/>
        <w:spacing w:line="0" w:lineRule="atLeast"/>
        <w:ind w:left="-284"/>
        <w:jc w:val="left"/>
        <w:rPr>
          <w:rFonts w:ascii="Times" w:eastAsiaTheme="minorEastAsia" w:hAnsi="Times" w:cs="Times"/>
          <w:b/>
          <w:color w:val="auto"/>
          <w:sz w:val="2"/>
          <w:szCs w:val="24"/>
        </w:rPr>
      </w:pPr>
      <w:r w:rsidRPr="00E238D9">
        <w:rPr>
          <w:rFonts w:ascii="Verdana" w:eastAsiaTheme="minorEastAsia" w:hAnsi="Verdana" w:cs="Verdana"/>
          <w:b/>
          <w:color w:val="3424A5"/>
          <w:sz w:val="34"/>
          <w:szCs w:val="66"/>
        </w:rPr>
        <w:t xml:space="preserve"> </w:t>
      </w:r>
    </w:p>
    <w:tbl>
      <w:tblPr>
        <w:tblW w:w="10456" w:type="dxa"/>
        <w:tblBorders>
          <w:top w:val="nil"/>
          <w:left w:val="nil"/>
          <w:right w:val="nil"/>
        </w:tblBorders>
        <w:tblLayout w:type="fixed"/>
        <w:tblLook w:val="0000" w:firstRow="0" w:lastRow="0" w:firstColumn="0" w:lastColumn="0" w:noHBand="0" w:noVBand="0"/>
      </w:tblPr>
      <w:tblGrid>
        <w:gridCol w:w="3227"/>
        <w:gridCol w:w="5245"/>
        <w:gridCol w:w="1984"/>
      </w:tblGrid>
      <w:tr w:rsidR="00FA5748" w:rsidRPr="008E29E4" w14:paraId="285F3ABE" w14:textId="77777777" w:rsidTr="008E29E4">
        <w:tblPrEx>
          <w:tblCellMar>
            <w:top w:w="0" w:type="dxa"/>
            <w:bottom w:w="0" w:type="dxa"/>
          </w:tblCellMar>
        </w:tblPrEx>
        <w:tc>
          <w:tcPr>
            <w:tcW w:w="3227" w:type="dxa"/>
            <w:tcBorders>
              <w:top w:val="single" w:sz="11" w:space="0" w:color="55288B"/>
              <w:left w:val="single" w:sz="11" w:space="0" w:color="56298A"/>
              <w:bottom w:val="single" w:sz="10" w:space="0" w:color="55288B"/>
              <w:right w:val="single" w:sz="11" w:space="0" w:color="56288B"/>
            </w:tcBorders>
            <w:shd w:val="clear" w:color="auto" w:fill="CCBFDC"/>
            <w:tcMar>
              <w:top w:w="20" w:type="nil"/>
              <w:left w:w="20" w:type="nil"/>
              <w:bottom w:w="20" w:type="nil"/>
              <w:right w:w="20" w:type="nil"/>
            </w:tcMar>
            <w:vAlign w:val="center"/>
          </w:tcPr>
          <w:p w14:paraId="2FA1FBFA"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Objectif(s) visé(s) : </w:t>
            </w:r>
          </w:p>
        </w:tc>
        <w:tc>
          <w:tcPr>
            <w:tcW w:w="7229" w:type="dxa"/>
            <w:gridSpan w:val="2"/>
            <w:tcBorders>
              <w:top w:val="single" w:sz="11" w:space="0" w:color="562A8A"/>
              <w:left w:val="single" w:sz="11" w:space="0" w:color="56288B"/>
              <w:bottom w:val="single" w:sz="10" w:space="0" w:color="56298B"/>
              <w:right w:val="single" w:sz="10" w:space="0" w:color="562A8A"/>
            </w:tcBorders>
            <w:shd w:val="clear" w:color="auto" w:fill="CCBFDC"/>
            <w:tcMar>
              <w:top w:w="20" w:type="nil"/>
              <w:left w:w="20" w:type="nil"/>
              <w:bottom w:w="20" w:type="nil"/>
              <w:right w:w="20" w:type="nil"/>
            </w:tcMar>
            <w:vAlign w:val="center"/>
          </w:tcPr>
          <w:p w14:paraId="744C72B2"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2EAEB63C" wp14:editId="7F91E992">
                  <wp:extent cx="13970" cy="1397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33D909F1"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Ce qui est attendu des enfants en fin d’école maternelle : </w:t>
            </w:r>
          </w:p>
        </w:tc>
      </w:tr>
      <w:tr w:rsidR="00FA5748" w:rsidRPr="008E29E4" w14:paraId="3514A518" w14:textId="77777777" w:rsidTr="008E29E4">
        <w:tblPrEx>
          <w:tblCellMar>
            <w:top w:w="0" w:type="dxa"/>
            <w:bottom w:w="0" w:type="dxa"/>
          </w:tblCellMar>
        </w:tblPrEx>
        <w:tc>
          <w:tcPr>
            <w:tcW w:w="3227"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685D5CD8"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Utiliser le nombre pour désigner un rang, une position. </w:t>
            </w:r>
          </w:p>
        </w:tc>
        <w:tc>
          <w:tcPr>
            <w:tcW w:w="7229" w:type="dxa"/>
            <w:gridSpan w:val="2"/>
            <w:tcBorders>
              <w:top w:val="single" w:sz="10" w:space="0" w:color="56298B"/>
              <w:left w:val="single" w:sz="11" w:space="0" w:color="auto"/>
              <w:bottom w:val="single" w:sz="10" w:space="0" w:color="auto"/>
              <w:right w:val="single" w:sz="10" w:space="0" w:color="auto"/>
            </w:tcBorders>
            <w:tcMar>
              <w:top w:w="20" w:type="nil"/>
              <w:left w:w="20" w:type="nil"/>
              <w:bottom w:w="20" w:type="nil"/>
              <w:right w:w="20" w:type="nil"/>
            </w:tcMar>
            <w:vAlign w:val="center"/>
          </w:tcPr>
          <w:p w14:paraId="60BFB1CB"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Utiliser le nombre pour exprimer la position d’un objet ou d’une personne dans un jeu, dans une situation organisée, sur un rang ou pour comparer des positions. </w:t>
            </w:r>
          </w:p>
        </w:tc>
      </w:tr>
      <w:tr w:rsidR="00FA5748" w:rsidRPr="008E29E4" w14:paraId="02E85ECA" w14:textId="77777777" w:rsidTr="008E29E4">
        <w:tblPrEx>
          <w:tblCellMar>
            <w:top w:w="0" w:type="dxa"/>
            <w:bottom w:w="0" w:type="dxa"/>
          </w:tblCellMar>
        </w:tblPrEx>
        <w:trPr>
          <w:trHeight w:val="1307"/>
        </w:trPr>
        <w:tc>
          <w:tcPr>
            <w:tcW w:w="3227"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740E5638"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L’enseignant observe que l’enfant commence à réussir ou réussit régulièrement à... </w:t>
            </w:r>
          </w:p>
        </w:tc>
        <w:tc>
          <w:tcPr>
            <w:tcW w:w="5245" w:type="dxa"/>
            <w:tcBorders>
              <w:top w:val="single" w:sz="10" w:space="0" w:color="55288B"/>
              <w:left w:val="single" w:sz="10" w:space="0" w:color="55298B"/>
              <w:bottom w:val="single" w:sz="10" w:space="0" w:color="55288B"/>
              <w:right w:val="single" w:sz="10" w:space="0" w:color="55298B"/>
            </w:tcBorders>
            <w:shd w:val="clear" w:color="auto" w:fill="CCBFDC"/>
            <w:tcMar>
              <w:top w:w="20" w:type="nil"/>
              <w:left w:w="20" w:type="nil"/>
              <w:bottom w:w="20" w:type="nil"/>
              <w:right w:w="20" w:type="nil"/>
            </w:tcMar>
            <w:vAlign w:val="center"/>
          </w:tcPr>
          <w:p w14:paraId="650E8DA4"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Contexte, circonstances, dispositifs, activités... </w:t>
            </w:r>
          </w:p>
        </w:tc>
        <w:tc>
          <w:tcPr>
            <w:tcW w:w="1984" w:type="dxa"/>
            <w:tcBorders>
              <w:top w:val="single" w:sz="10" w:space="0" w:color="55288B"/>
              <w:left w:val="single" w:sz="10" w:space="0" w:color="55298B"/>
              <w:bottom w:val="single" w:sz="10" w:space="0" w:color="55288B"/>
              <w:right w:val="single" w:sz="10" w:space="0" w:color="55298B"/>
            </w:tcBorders>
            <w:shd w:val="clear" w:color="auto" w:fill="CCBFDC"/>
            <w:tcMar>
              <w:top w:w="20" w:type="nil"/>
              <w:left w:w="20" w:type="nil"/>
              <w:bottom w:w="20" w:type="nil"/>
              <w:right w:w="20" w:type="nil"/>
            </w:tcMar>
            <w:vAlign w:val="center"/>
          </w:tcPr>
          <w:p w14:paraId="7A5CAA9C"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1BBA74B6" wp14:editId="5B1C2888">
                  <wp:extent cx="13970" cy="1397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2FAC5FEA" w14:textId="36626DD5" w:rsidR="00477538" w:rsidRPr="008E29E4" w:rsidRDefault="00477538" w:rsidP="008E29E4">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Pour les apprentissages suivants... </w:t>
            </w:r>
          </w:p>
        </w:tc>
      </w:tr>
      <w:tr w:rsidR="00FA5748" w:rsidRPr="008E29E4" w14:paraId="67D97723" w14:textId="77777777" w:rsidTr="008E29E4">
        <w:tblPrEx>
          <w:tblCellMar>
            <w:top w:w="0" w:type="dxa"/>
            <w:bottom w:w="0" w:type="dxa"/>
          </w:tblCellMar>
        </w:tblPrEx>
        <w:tc>
          <w:tcPr>
            <w:tcW w:w="3227"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27892980" w14:textId="397515CD"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construire</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une</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suite</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identique</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à</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une</w:t>
            </w:r>
            <w:r w:rsidR="00A865EB" w:rsidRPr="008E29E4">
              <w:rPr>
                <w:rFonts w:ascii="Arial" w:eastAsiaTheme="minorEastAsia" w:hAnsi="Arial" w:cs="Arial"/>
                <w:color w:val="auto"/>
                <w:sz w:val="24"/>
                <w:szCs w:val="26"/>
              </w:rPr>
              <w:t xml:space="preserve"> </w:t>
            </w:r>
            <w:r w:rsidRPr="008E29E4">
              <w:rPr>
                <w:rFonts w:ascii="Arial" w:eastAsiaTheme="minorEastAsia" w:hAnsi="Arial" w:cs="Arial"/>
                <w:color w:val="auto"/>
                <w:sz w:val="24"/>
                <w:szCs w:val="26"/>
              </w:rPr>
              <w:t xml:space="preserve">suite ordonnée proposée. </w:t>
            </w:r>
          </w:p>
        </w:tc>
        <w:tc>
          <w:tcPr>
            <w:tcW w:w="5245" w:type="dxa"/>
            <w:tcBorders>
              <w:top w:val="single" w:sz="10" w:space="0" w:color="55288B"/>
              <w:left w:val="single" w:sz="10" w:space="0" w:color="auto"/>
              <w:bottom w:val="single" w:sz="10" w:space="0" w:color="auto"/>
              <w:right w:val="single" w:sz="10" w:space="0" w:color="auto"/>
            </w:tcBorders>
            <w:tcMar>
              <w:top w:w="20" w:type="nil"/>
              <w:left w:w="20" w:type="nil"/>
              <w:bottom w:w="20" w:type="nil"/>
              <w:right w:w="20" w:type="nil"/>
            </w:tcMar>
            <w:vAlign w:val="center"/>
          </w:tcPr>
          <w:p w14:paraId="19790717" w14:textId="342B23BD" w:rsidR="00477538" w:rsidRPr="008E29E4" w:rsidRDefault="00477538" w:rsidP="008E29E4">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Activités de reproduction de suites avec un modèle visuellement proche puis à distance, de comparaison de suites visuellement proche puis à distance. </w:t>
            </w:r>
          </w:p>
        </w:tc>
        <w:tc>
          <w:tcPr>
            <w:tcW w:w="1984" w:type="dxa"/>
            <w:tcBorders>
              <w:top w:val="single" w:sz="10" w:space="0" w:color="55288B"/>
              <w:left w:val="single" w:sz="10" w:space="0" w:color="auto"/>
              <w:bottom w:val="single" w:sz="10" w:space="0" w:color="auto"/>
              <w:right w:val="single" w:sz="10" w:space="0" w:color="auto"/>
            </w:tcBorders>
            <w:tcMar>
              <w:top w:w="20" w:type="nil"/>
              <w:left w:w="20" w:type="nil"/>
              <w:bottom w:w="20" w:type="nil"/>
              <w:right w:w="20" w:type="nil"/>
            </w:tcMar>
            <w:vAlign w:val="center"/>
          </w:tcPr>
          <w:p w14:paraId="5311AAFC"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Garder en mémoire la position des objets. </w:t>
            </w:r>
          </w:p>
        </w:tc>
      </w:tr>
    </w:tbl>
    <w:p w14:paraId="0809C0D0" w14:textId="7C58A076" w:rsidR="00477538" w:rsidRPr="008E29E4" w:rsidRDefault="00477538" w:rsidP="008E29E4">
      <w:pPr>
        <w:widowControl w:val="0"/>
        <w:autoSpaceDE w:val="0"/>
        <w:autoSpaceDN w:val="0"/>
        <w:adjustRightInd w:val="0"/>
        <w:spacing w:line="0" w:lineRule="atLeast"/>
        <w:rPr>
          <w:rFonts w:ascii="Times" w:eastAsiaTheme="minorEastAsia" w:hAnsi="Times" w:cs="Times"/>
          <w:color w:val="auto"/>
          <w:sz w:val="12"/>
          <w:szCs w:val="24"/>
        </w:rPr>
      </w:pPr>
    </w:p>
    <w:tbl>
      <w:tblPr>
        <w:tblW w:w="10456" w:type="dxa"/>
        <w:tblBorders>
          <w:top w:val="nil"/>
          <w:left w:val="nil"/>
          <w:right w:val="nil"/>
        </w:tblBorders>
        <w:tblLayout w:type="fixed"/>
        <w:tblLook w:val="0000" w:firstRow="0" w:lastRow="0" w:firstColumn="0" w:lastColumn="0" w:noHBand="0" w:noVBand="0"/>
      </w:tblPr>
      <w:tblGrid>
        <w:gridCol w:w="3085"/>
        <w:gridCol w:w="5528"/>
        <w:gridCol w:w="1843"/>
      </w:tblGrid>
      <w:tr w:rsidR="00FA5748" w:rsidRPr="008E29E4" w14:paraId="30FC1069" w14:textId="77777777" w:rsidTr="008E29E4">
        <w:tblPrEx>
          <w:tblCellMar>
            <w:top w:w="0" w:type="dxa"/>
            <w:bottom w:w="0" w:type="dxa"/>
          </w:tblCellMar>
        </w:tblPrEx>
        <w:tc>
          <w:tcPr>
            <w:tcW w:w="3085" w:type="dxa"/>
            <w:tcBorders>
              <w:top w:val="single" w:sz="10" w:space="0" w:color="55288B"/>
              <w:left w:val="single" w:sz="11" w:space="0" w:color="56298B"/>
              <w:bottom w:val="single" w:sz="10" w:space="0" w:color="55288B"/>
              <w:right w:val="single" w:sz="11" w:space="0" w:color="562A8A"/>
            </w:tcBorders>
            <w:shd w:val="clear" w:color="auto" w:fill="CCBFDC"/>
            <w:tcMar>
              <w:top w:w="20" w:type="nil"/>
              <w:left w:w="20" w:type="nil"/>
              <w:bottom w:w="20" w:type="nil"/>
              <w:right w:w="20" w:type="nil"/>
            </w:tcMar>
            <w:vAlign w:val="center"/>
          </w:tcPr>
          <w:p w14:paraId="7936B37E"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L’enseignant observe que l’enfant commence à réussir ou réussit régulièrement à... </w:t>
            </w:r>
          </w:p>
        </w:tc>
        <w:tc>
          <w:tcPr>
            <w:tcW w:w="5528" w:type="dxa"/>
            <w:tcBorders>
              <w:top w:val="single" w:sz="10" w:space="0" w:color="55288B"/>
              <w:left w:val="single" w:sz="11" w:space="0" w:color="562A8A"/>
              <w:bottom w:val="single" w:sz="10" w:space="0" w:color="55288B"/>
              <w:right w:val="single" w:sz="11" w:space="0" w:color="562A8A"/>
            </w:tcBorders>
            <w:shd w:val="clear" w:color="auto" w:fill="CCBFDC"/>
            <w:tcMar>
              <w:top w:w="20" w:type="nil"/>
              <w:left w:w="20" w:type="nil"/>
              <w:bottom w:w="20" w:type="nil"/>
              <w:right w:w="20" w:type="nil"/>
            </w:tcMar>
            <w:vAlign w:val="center"/>
          </w:tcPr>
          <w:p w14:paraId="4290E7FE"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Contexte, circonstances, dispositifs, activités... </w:t>
            </w:r>
          </w:p>
        </w:tc>
        <w:tc>
          <w:tcPr>
            <w:tcW w:w="1843"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4C20D650"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5BC12323" wp14:editId="1B6DE283">
                  <wp:extent cx="13970" cy="1397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4EFBE7E5" w14:textId="740F1354" w:rsidR="00477538" w:rsidRPr="008E29E4" w:rsidRDefault="00477538" w:rsidP="008E29E4">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Pour les apprentissages suivants... </w:t>
            </w:r>
          </w:p>
        </w:tc>
      </w:tr>
      <w:tr w:rsidR="00FA5748" w:rsidRPr="008E29E4" w14:paraId="0DA6D8BC" w14:textId="77777777" w:rsidTr="008E29E4">
        <w:tblPrEx>
          <w:tblBorders>
            <w:top w:val="none" w:sz="0" w:space="0" w:color="auto"/>
          </w:tblBorders>
          <w:tblCellMar>
            <w:top w:w="0" w:type="dxa"/>
            <w:bottom w:w="0" w:type="dxa"/>
          </w:tblCellMar>
        </w:tblPrEx>
        <w:trPr>
          <w:trHeight w:val="1249"/>
        </w:trPr>
        <w:tc>
          <w:tcPr>
            <w:tcW w:w="3085"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510E6C47"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 placer un élément en connaissant sa position et en respectant le sens du parcours. </w:t>
            </w:r>
          </w:p>
        </w:tc>
        <w:tc>
          <w:tcPr>
            <w:tcW w:w="5528"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315CBB5B"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Travail sur les variables didactiques : </w:t>
            </w:r>
          </w:p>
          <w:p w14:paraId="6CBC0C9E" w14:textId="5D393636"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 nature des éléments dans la suite, </w:t>
            </w:r>
            <w:r w:rsidR="008E29E4">
              <w:rPr>
                <w:rFonts w:ascii="Times" w:eastAsiaTheme="minorEastAsia" w:hAnsi="Times" w:cs="Times"/>
                <w:color w:val="auto"/>
                <w:sz w:val="24"/>
                <w:szCs w:val="24"/>
              </w:rPr>
              <w:br/>
            </w:r>
            <w:r w:rsidRPr="008E29E4">
              <w:rPr>
                <w:rFonts w:ascii="Arial" w:eastAsiaTheme="minorEastAsia" w:hAnsi="Arial" w:cs="Arial"/>
                <w:color w:val="auto"/>
                <w:sz w:val="24"/>
                <w:szCs w:val="26"/>
              </w:rPr>
              <w:t xml:space="preserve">• rang demandé par l’enseignant, </w:t>
            </w:r>
            <w:r w:rsidR="008E29E4">
              <w:rPr>
                <w:rFonts w:ascii="Times" w:eastAsiaTheme="minorEastAsia" w:hAnsi="Times" w:cs="Times"/>
                <w:color w:val="auto"/>
                <w:sz w:val="24"/>
                <w:szCs w:val="24"/>
              </w:rPr>
              <w:br/>
            </w:r>
            <w:r w:rsidRPr="008E29E4">
              <w:rPr>
                <w:rFonts w:ascii="Arial" w:eastAsiaTheme="minorEastAsia" w:hAnsi="Arial" w:cs="Arial"/>
                <w:color w:val="auto"/>
                <w:sz w:val="24"/>
                <w:szCs w:val="26"/>
              </w:rPr>
              <w:t xml:space="preserve">• (« Montre le deuxième élément »), </w:t>
            </w:r>
            <w:r w:rsidR="008E29E4">
              <w:rPr>
                <w:rFonts w:ascii="Times" w:eastAsiaTheme="minorEastAsia" w:hAnsi="Times" w:cs="Times"/>
                <w:color w:val="auto"/>
                <w:sz w:val="24"/>
                <w:szCs w:val="24"/>
              </w:rPr>
              <w:br/>
            </w:r>
            <w:r w:rsidRPr="008E29E4">
              <w:rPr>
                <w:rFonts w:ascii="Arial" w:eastAsiaTheme="minorEastAsia" w:hAnsi="Arial" w:cs="Arial"/>
                <w:color w:val="auto"/>
                <w:sz w:val="24"/>
                <w:szCs w:val="26"/>
              </w:rPr>
              <w:t xml:space="preserve">• désignation des rangs par </w:t>
            </w:r>
            <w:r w:rsidR="008E29E4">
              <w:rPr>
                <w:rFonts w:ascii="Times" w:eastAsiaTheme="minorEastAsia" w:hAnsi="Times" w:cs="Times"/>
                <w:color w:val="auto"/>
                <w:sz w:val="24"/>
                <w:szCs w:val="24"/>
              </w:rPr>
              <w:br/>
            </w:r>
            <w:r w:rsidRPr="008E29E4">
              <w:rPr>
                <w:rFonts w:ascii="Arial" w:eastAsiaTheme="minorEastAsia" w:hAnsi="Arial" w:cs="Arial"/>
                <w:color w:val="auto"/>
                <w:sz w:val="24"/>
                <w:szCs w:val="26"/>
              </w:rPr>
              <w:t xml:space="preserve">• l’enseignant (« Montre le deuxième et le quatrième ») puis par l’enfant (« C’est le deuxième ») ; </w:t>
            </w:r>
            <w:r w:rsidR="008E29E4">
              <w:rPr>
                <w:rFonts w:ascii="Times" w:eastAsiaTheme="minorEastAsia" w:hAnsi="Times" w:cs="Times"/>
                <w:color w:val="auto"/>
                <w:sz w:val="24"/>
                <w:szCs w:val="24"/>
              </w:rPr>
              <w:br/>
            </w:r>
            <w:r w:rsidRPr="008E29E4">
              <w:rPr>
                <w:rFonts w:ascii="Arial" w:eastAsiaTheme="minorEastAsia" w:hAnsi="Arial" w:cs="Arial"/>
                <w:color w:val="auto"/>
                <w:sz w:val="24"/>
                <w:szCs w:val="26"/>
              </w:rPr>
              <w:t xml:space="preserve">• distinction entre deux désignations différentes dans une même suite (ex : « le deuxième jeton » // « le deuxième jeton bleu » dans un série où alternent jetons bleus et jaunes ; « le deuxième jeton bleu est le quatrième jeton de la série »...) </w:t>
            </w:r>
          </w:p>
        </w:tc>
        <w:tc>
          <w:tcPr>
            <w:tcW w:w="1843"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053CEEEE"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Repérer et utiliser le rang d’un élément dans une suite ordonnée. </w:t>
            </w:r>
          </w:p>
        </w:tc>
      </w:tr>
      <w:tr w:rsidR="00FA5748" w:rsidRPr="008E29E4" w14:paraId="0302BD41" w14:textId="77777777" w:rsidTr="008E29E4">
        <w:tblPrEx>
          <w:tblCellMar>
            <w:top w:w="0" w:type="dxa"/>
            <w:bottom w:w="0" w:type="dxa"/>
          </w:tblCellMar>
        </w:tblPrEx>
        <w:tc>
          <w:tcPr>
            <w:tcW w:w="3085"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54D56795"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 verbaliser le rang des éléments d’une suite ordonnée en respectant le sens de « lecture » : le premier, le deuxième... </w:t>
            </w:r>
          </w:p>
        </w:tc>
        <w:tc>
          <w:tcPr>
            <w:tcW w:w="5528"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19F39D51"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6"/>
              </w:rPr>
              <w:t xml:space="preserve">Entraînement à la verbalisation de positions (consignes à donner à des pairs pour faire produire une suite identique à une suite donnée ; devinettes ; repérage dans un cahier ou un document avec des pages non numérotées....) </w:t>
            </w:r>
          </w:p>
        </w:tc>
        <w:tc>
          <w:tcPr>
            <w:tcW w:w="1843"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31E6EC44"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25EE7CAD" wp14:editId="4931BBFC">
                  <wp:extent cx="13970" cy="1397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r w:rsidRPr="008E29E4">
              <w:rPr>
                <w:rFonts w:ascii="Times" w:eastAsiaTheme="minorEastAsia" w:hAnsi="Times" w:cs="Times"/>
                <w:noProof/>
                <w:color w:val="auto"/>
                <w:sz w:val="24"/>
                <w:szCs w:val="24"/>
                <w:lang w:eastAsia="fr-FR"/>
              </w:rPr>
              <w:drawing>
                <wp:inline distT="0" distB="0" distL="0" distR="0" wp14:anchorId="140582CC" wp14:editId="32779431">
                  <wp:extent cx="13970" cy="1397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p>
        </w:tc>
      </w:tr>
    </w:tbl>
    <w:p w14:paraId="1439DFA1" w14:textId="77777777" w:rsidR="00477538" w:rsidRPr="008E29E4" w:rsidRDefault="00477538" w:rsidP="008E29E4">
      <w:pPr>
        <w:widowControl w:val="0"/>
        <w:autoSpaceDE w:val="0"/>
        <w:autoSpaceDN w:val="0"/>
        <w:adjustRightInd w:val="0"/>
        <w:spacing w:line="200" w:lineRule="atLeast"/>
        <w:jc w:val="left"/>
        <w:rPr>
          <w:rFonts w:ascii="Times" w:eastAsiaTheme="minorEastAsia" w:hAnsi="Times" w:cs="Times"/>
          <w:b/>
          <w:color w:val="auto"/>
          <w:sz w:val="2"/>
          <w:szCs w:val="24"/>
        </w:rPr>
      </w:pPr>
      <w:r w:rsidRPr="008E29E4">
        <w:rPr>
          <w:rFonts w:ascii="Verdana" w:eastAsiaTheme="minorEastAsia" w:hAnsi="Verdana" w:cs="Verdana"/>
          <w:b/>
          <w:color w:val="3424A5"/>
          <w:sz w:val="40"/>
          <w:szCs w:val="66"/>
        </w:rPr>
        <w:t xml:space="preserve">Construire des premiers savoirs et savoir-faire avec rigueur </w:t>
      </w:r>
    </w:p>
    <w:p w14:paraId="6FF8575E" w14:textId="04EF2680" w:rsidR="00477538" w:rsidRDefault="00477538" w:rsidP="00477538">
      <w:pPr>
        <w:widowControl w:val="0"/>
        <w:autoSpaceDE w:val="0"/>
        <w:autoSpaceDN w:val="0"/>
        <w:adjustRightInd w:val="0"/>
        <w:spacing w:line="280" w:lineRule="atLeast"/>
        <w:jc w:val="left"/>
        <w:rPr>
          <w:rFonts w:ascii="Times" w:eastAsiaTheme="minorEastAsia" w:hAnsi="Times" w:cs="Times"/>
          <w:color w:val="auto"/>
          <w:sz w:val="24"/>
          <w:szCs w:val="24"/>
        </w:rPr>
      </w:pPr>
    </w:p>
    <w:tbl>
      <w:tblPr>
        <w:tblW w:w="10456" w:type="dxa"/>
        <w:tblBorders>
          <w:top w:val="nil"/>
          <w:left w:val="nil"/>
          <w:right w:val="nil"/>
        </w:tblBorders>
        <w:tblLayout w:type="fixed"/>
        <w:tblLook w:val="0000" w:firstRow="0" w:lastRow="0" w:firstColumn="0" w:lastColumn="0" w:noHBand="0" w:noVBand="0"/>
      </w:tblPr>
      <w:tblGrid>
        <w:gridCol w:w="3369"/>
        <w:gridCol w:w="5528"/>
        <w:gridCol w:w="1559"/>
      </w:tblGrid>
      <w:tr w:rsidR="00473E79" w:rsidRPr="008E29E4" w14:paraId="4597E3EF" w14:textId="77777777" w:rsidTr="00FA2424">
        <w:tblPrEx>
          <w:tblCellMar>
            <w:top w:w="0" w:type="dxa"/>
            <w:bottom w:w="0" w:type="dxa"/>
          </w:tblCellMar>
        </w:tblPrEx>
        <w:trPr>
          <w:gridAfter w:val="1"/>
          <w:wAfter w:w="1559" w:type="dxa"/>
        </w:trPr>
        <w:tc>
          <w:tcPr>
            <w:tcW w:w="3369" w:type="dxa"/>
            <w:tcBorders>
              <w:top w:val="single" w:sz="11" w:space="0" w:color="55288B"/>
              <w:left w:val="single" w:sz="10" w:space="0" w:color="562A8A"/>
              <w:bottom w:val="single" w:sz="10" w:space="0" w:color="55288B"/>
              <w:right w:val="single" w:sz="11" w:space="0" w:color="56288B"/>
            </w:tcBorders>
            <w:shd w:val="clear" w:color="auto" w:fill="CCBFDC"/>
            <w:tcMar>
              <w:top w:w="20" w:type="nil"/>
              <w:left w:w="20" w:type="nil"/>
              <w:bottom w:w="20" w:type="nil"/>
              <w:right w:w="20" w:type="nil"/>
            </w:tcMar>
            <w:vAlign w:val="center"/>
          </w:tcPr>
          <w:p w14:paraId="253CA750"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Objectif(s) visé(s) : </w:t>
            </w:r>
          </w:p>
        </w:tc>
        <w:tc>
          <w:tcPr>
            <w:tcW w:w="5528" w:type="dxa"/>
            <w:tcBorders>
              <w:top w:val="single" w:sz="11" w:space="0" w:color="562A8A"/>
              <w:left w:val="single" w:sz="11" w:space="0" w:color="56288B"/>
              <w:bottom w:val="single" w:sz="10" w:space="0" w:color="56298B"/>
              <w:right w:val="single" w:sz="10" w:space="0" w:color="562A8A"/>
            </w:tcBorders>
            <w:shd w:val="clear" w:color="auto" w:fill="CCBFDC"/>
            <w:tcMar>
              <w:top w:w="20" w:type="nil"/>
              <w:left w:w="20" w:type="nil"/>
              <w:bottom w:w="20" w:type="nil"/>
              <w:right w:w="20" w:type="nil"/>
            </w:tcMar>
            <w:vAlign w:val="center"/>
          </w:tcPr>
          <w:p w14:paraId="22EB6CC6"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122ACAB5" wp14:editId="0EAF46B1">
                  <wp:extent cx="13970" cy="1397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146D7115" w14:textId="08C78972" w:rsidR="00477538" w:rsidRPr="008E29E4" w:rsidRDefault="00477538" w:rsidP="00D143D5">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Ce qui est attendu des enfants en fin d’école maternelle : </w:t>
            </w:r>
          </w:p>
        </w:tc>
      </w:tr>
      <w:tr w:rsidR="00473E79" w:rsidRPr="008E29E4" w14:paraId="4F21CBDA" w14:textId="77777777" w:rsidTr="00FA2424">
        <w:tblPrEx>
          <w:tblCellMar>
            <w:top w:w="0" w:type="dxa"/>
            <w:bottom w:w="0" w:type="dxa"/>
          </w:tblCellMar>
        </w:tblPrEx>
        <w:trPr>
          <w:gridAfter w:val="1"/>
          <w:wAfter w:w="1559" w:type="dxa"/>
        </w:trPr>
        <w:tc>
          <w:tcPr>
            <w:tcW w:w="3369" w:type="dxa"/>
            <w:tcBorders>
              <w:top w:val="single" w:sz="10" w:space="0" w:color="55288B"/>
              <w:left w:val="single" w:sz="10" w:space="0" w:color="auto"/>
              <w:bottom w:val="single" w:sz="10" w:space="0" w:color="auto"/>
              <w:right w:val="single" w:sz="11" w:space="0" w:color="auto"/>
            </w:tcBorders>
            <w:tcMar>
              <w:top w:w="20" w:type="nil"/>
              <w:left w:w="20" w:type="nil"/>
              <w:bottom w:w="20" w:type="nil"/>
              <w:right w:w="20" w:type="nil"/>
            </w:tcMar>
            <w:vAlign w:val="center"/>
          </w:tcPr>
          <w:p w14:paraId="6F100F3A"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Construire des premiers savoirs et savoir-faire avec rigueur. </w:t>
            </w:r>
          </w:p>
          <w:p w14:paraId="5625283E"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Acquérir la suite orale des mots-nombres. </w:t>
            </w:r>
          </w:p>
          <w:p w14:paraId="6A85BC3F"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Écrire les nombres avec les chiffres. </w:t>
            </w:r>
          </w:p>
          <w:p w14:paraId="2793A20B"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Dénombrer. </w:t>
            </w:r>
          </w:p>
        </w:tc>
        <w:tc>
          <w:tcPr>
            <w:tcW w:w="5528" w:type="dxa"/>
            <w:tcBorders>
              <w:top w:val="single" w:sz="10" w:space="0" w:color="56298B"/>
              <w:left w:val="single" w:sz="11" w:space="0" w:color="auto"/>
              <w:bottom w:val="single" w:sz="10" w:space="0" w:color="auto"/>
              <w:right w:val="single" w:sz="10" w:space="0" w:color="auto"/>
            </w:tcBorders>
            <w:tcMar>
              <w:top w:w="20" w:type="nil"/>
              <w:left w:w="20" w:type="nil"/>
              <w:bottom w:w="20" w:type="nil"/>
              <w:right w:w="20" w:type="nil"/>
            </w:tcMar>
            <w:vAlign w:val="center"/>
          </w:tcPr>
          <w:p w14:paraId="65BC3BB6"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Quantifier des collections jusqu’à 10 au moins. Dire la suite des nombres jusqu’à trente. Lire les nombres écrits en chiffres jusqu’à dix. </w:t>
            </w:r>
          </w:p>
          <w:p w14:paraId="014BAC68"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Mobiliser des symboles analogiques, verbaux ou écrits, conventionnels ou non conventionnels pour communiquer des informations orales et écrites sur une quantité. </w:t>
            </w:r>
          </w:p>
        </w:tc>
      </w:tr>
      <w:tr w:rsidR="00473E79" w:rsidRPr="008E29E4" w14:paraId="2EF1B0D1" w14:textId="77777777" w:rsidTr="00FA2424">
        <w:tblPrEx>
          <w:tblCellMar>
            <w:top w:w="0" w:type="dxa"/>
            <w:bottom w:w="0" w:type="dxa"/>
          </w:tblCellMar>
        </w:tblPrEx>
        <w:tc>
          <w:tcPr>
            <w:tcW w:w="3369" w:type="dxa"/>
            <w:tcBorders>
              <w:top w:val="single" w:sz="10" w:space="0" w:color="55288B"/>
              <w:left w:val="single" w:sz="10" w:space="0" w:color="55298B"/>
              <w:bottom w:val="single" w:sz="10" w:space="0" w:color="55288B"/>
              <w:right w:val="single" w:sz="11" w:space="0" w:color="562A8A"/>
            </w:tcBorders>
            <w:shd w:val="clear" w:color="auto" w:fill="CCBFDC"/>
            <w:tcMar>
              <w:top w:w="20" w:type="nil"/>
              <w:left w:w="20" w:type="nil"/>
              <w:bottom w:w="20" w:type="nil"/>
              <w:right w:w="20" w:type="nil"/>
            </w:tcMar>
            <w:vAlign w:val="center"/>
          </w:tcPr>
          <w:p w14:paraId="5E963B44"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L’enseignant observe que l’enfant commence à réussir ou réussit régulièrement à... </w:t>
            </w:r>
          </w:p>
        </w:tc>
        <w:tc>
          <w:tcPr>
            <w:tcW w:w="5528" w:type="dxa"/>
            <w:tcBorders>
              <w:top w:val="single" w:sz="10" w:space="0" w:color="55288B"/>
              <w:left w:val="single" w:sz="11" w:space="0" w:color="562A8A"/>
              <w:bottom w:val="single" w:sz="10" w:space="0" w:color="55288B"/>
              <w:right w:val="single" w:sz="11" w:space="0" w:color="562A8A"/>
            </w:tcBorders>
            <w:shd w:val="clear" w:color="auto" w:fill="CCBFDC"/>
            <w:tcMar>
              <w:top w:w="20" w:type="nil"/>
              <w:left w:w="20" w:type="nil"/>
              <w:bottom w:w="20" w:type="nil"/>
              <w:right w:w="20" w:type="nil"/>
            </w:tcMar>
            <w:vAlign w:val="center"/>
          </w:tcPr>
          <w:p w14:paraId="446C9989"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Contexte, circonstances, dispositifs, activités... </w:t>
            </w:r>
          </w:p>
        </w:tc>
        <w:tc>
          <w:tcPr>
            <w:tcW w:w="1559"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154B03F3"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25455D26" wp14:editId="711345A8">
                  <wp:extent cx="13970" cy="1397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1D1AF9E6" w14:textId="0743C694" w:rsidR="00477538" w:rsidRPr="008E29E4" w:rsidRDefault="00477538" w:rsidP="00D143D5">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Pour les apprentissages suivants... </w:t>
            </w:r>
          </w:p>
        </w:tc>
      </w:tr>
      <w:tr w:rsidR="00473E79" w:rsidRPr="008E29E4" w14:paraId="5B570AF1" w14:textId="77777777" w:rsidTr="00FA2424">
        <w:tblPrEx>
          <w:tblCellMar>
            <w:top w:w="0" w:type="dxa"/>
            <w:bottom w:w="0" w:type="dxa"/>
          </w:tblCellMar>
        </w:tblPrEx>
        <w:tc>
          <w:tcPr>
            <w:tcW w:w="3369" w:type="dxa"/>
            <w:tcBorders>
              <w:top w:val="single" w:sz="10" w:space="0" w:color="55288B"/>
              <w:left w:val="single" w:sz="10" w:space="0" w:color="auto"/>
              <w:bottom w:val="single" w:sz="10" w:space="0" w:color="auto"/>
              <w:right w:val="single" w:sz="11" w:space="0" w:color="auto"/>
            </w:tcBorders>
            <w:tcMar>
              <w:top w:w="20" w:type="nil"/>
              <w:left w:w="20" w:type="nil"/>
              <w:bottom w:w="20" w:type="nil"/>
              <w:right w:w="20" w:type="nil"/>
            </w:tcMar>
            <w:vAlign w:val="center"/>
          </w:tcPr>
          <w:p w14:paraId="23C72439" w14:textId="77777777" w:rsidR="00D143D5" w:rsidRDefault="00477538">
            <w:pPr>
              <w:widowControl w:val="0"/>
              <w:autoSpaceDE w:val="0"/>
              <w:autoSpaceDN w:val="0"/>
              <w:adjustRightInd w:val="0"/>
              <w:spacing w:after="240" w:line="300" w:lineRule="atLeast"/>
              <w:jc w:val="left"/>
              <w:rPr>
                <w:rFonts w:ascii="Arial" w:eastAsiaTheme="minorEastAsia" w:hAnsi="Arial" w:cs="Arial"/>
                <w:color w:val="auto"/>
                <w:sz w:val="24"/>
                <w:szCs w:val="24"/>
              </w:rPr>
            </w:pPr>
            <w:r w:rsidRPr="008E29E4">
              <w:rPr>
                <w:rFonts w:ascii="Arial" w:eastAsiaTheme="minorEastAsia" w:hAnsi="Arial" w:cs="Arial"/>
                <w:color w:val="auto"/>
                <w:sz w:val="24"/>
                <w:szCs w:val="24"/>
              </w:rPr>
              <w:t xml:space="preserve">• dire la suite orale des mots-nombres : </w:t>
            </w:r>
          </w:p>
          <w:p w14:paraId="2045C2AA" w14:textId="1410CE2D" w:rsidR="00477538" w:rsidRPr="008E29E4" w:rsidRDefault="00D143D5">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&gt; </w:t>
            </w:r>
            <w:r w:rsidR="00477538" w:rsidRPr="008E29E4">
              <w:rPr>
                <w:rFonts w:ascii="Arial" w:eastAsiaTheme="minorEastAsia" w:hAnsi="Arial" w:cs="Arial"/>
                <w:color w:val="auto"/>
                <w:sz w:val="24"/>
                <w:szCs w:val="24"/>
              </w:rPr>
              <w:t>de</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un</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en</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un,</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à</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partir</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de</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un</w:t>
            </w:r>
            <w:r>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 xml:space="preserve">puis d’un autre nombre </w:t>
            </w:r>
          </w:p>
          <w:p w14:paraId="2F49C92D"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Times" w:eastAsiaTheme="minorEastAsia" w:hAnsi="Times" w:cs="Times"/>
                <w:color w:val="auto"/>
                <w:sz w:val="24"/>
                <w:szCs w:val="24"/>
              </w:rPr>
              <w:t xml:space="preserve">» </w:t>
            </w:r>
            <w:r w:rsidRPr="008E29E4">
              <w:rPr>
                <w:rFonts w:ascii="Arial" w:eastAsiaTheme="minorEastAsia" w:hAnsi="Arial" w:cs="Arial"/>
                <w:color w:val="auto"/>
                <w:sz w:val="24"/>
                <w:szCs w:val="24"/>
              </w:rPr>
              <w:t xml:space="preserve">en avançant de deux en deux </w:t>
            </w:r>
          </w:p>
          <w:p w14:paraId="3CB79FE2"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Times" w:eastAsiaTheme="minorEastAsia" w:hAnsi="Times" w:cs="Times"/>
                <w:color w:val="auto"/>
                <w:sz w:val="24"/>
                <w:szCs w:val="24"/>
              </w:rPr>
              <w:t xml:space="preserve">» </w:t>
            </w:r>
            <w:r w:rsidRPr="008E29E4">
              <w:rPr>
                <w:rFonts w:ascii="Arial" w:eastAsiaTheme="minorEastAsia" w:hAnsi="Arial" w:cs="Arial"/>
                <w:color w:val="auto"/>
                <w:sz w:val="24"/>
                <w:szCs w:val="24"/>
              </w:rPr>
              <w:t xml:space="preserve">en reculant pour les dix premiers nombres... </w:t>
            </w:r>
          </w:p>
        </w:tc>
        <w:tc>
          <w:tcPr>
            <w:tcW w:w="5528"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6B7D8774"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Comptines numériques. </w:t>
            </w:r>
          </w:p>
          <w:p w14:paraId="49C24BA0"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Travail systématique de la suite orale des nombres. </w:t>
            </w:r>
          </w:p>
          <w:p w14:paraId="3DDC14EA"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Mise en évidence des régularités à partir de dix-sept. </w:t>
            </w:r>
          </w:p>
          <w:p w14:paraId="0E0F8CF8" w14:textId="07602058" w:rsidR="00477538" w:rsidRPr="008E29E4" w:rsidRDefault="00477538" w:rsidP="00251CA2">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Avant quatre ans, travail sur la suite numérique jusqu’à cinq ou six et jusqu’à trente ensuite pour les plus grands. </w:t>
            </w:r>
          </w:p>
        </w:tc>
        <w:tc>
          <w:tcPr>
            <w:tcW w:w="1559"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059FB7B3"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Acquérir la suite orale des mots- nombres. </w:t>
            </w:r>
          </w:p>
        </w:tc>
      </w:tr>
    </w:tbl>
    <w:p w14:paraId="7FC17081" w14:textId="329D150B" w:rsidR="00477538" w:rsidRPr="008E29E4" w:rsidRDefault="00477538" w:rsidP="00251CA2">
      <w:pPr>
        <w:widowControl w:val="0"/>
        <w:autoSpaceDE w:val="0"/>
        <w:autoSpaceDN w:val="0"/>
        <w:adjustRightInd w:val="0"/>
        <w:spacing w:line="200" w:lineRule="atLeast"/>
        <w:jc w:val="left"/>
        <w:rPr>
          <w:rFonts w:ascii="Times" w:eastAsiaTheme="minorEastAsia" w:hAnsi="Times" w:cs="Times"/>
          <w:color w:val="auto"/>
          <w:sz w:val="24"/>
          <w:szCs w:val="24"/>
        </w:rPr>
      </w:pPr>
      <w:r w:rsidRPr="008E29E4">
        <w:rPr>
          <w:rFonts w:ascii="Arial" w:eastAsiaTheme="minorEastAsia" w:hAnsi="Arial" w:cs="Arial"/>
          <w:color w:val="FD9B09"/>
          <w:sz w:val="24"/>
          <w:szCs w:val="24"/>
        </w:rPr>
        <w:t xml:space="preserve"> </w:t>
      </w:r>
    </w:p>
    <w:tbl>
      <w:tblPr>
        <w:tblW w:w="10456" w:type="dxa"/>
        <w:tblBorders>
          <w:top w:val="nil"/>
          <w:left w:val="nil"/>
          <w:right w:val="nil"/>
        </w:tblBorders>
        <w:tblLayout w:type="fixed"/>
        <w:tblLook w:val="0000" w:firstRow="0" w:lastRow="0" w:firstColumn="0" w:lastColumn="0" w:noHBand="0" w:noVBand="0"/>
      </w:tblPr>
      <w:tblGrid>
        <w:gridCol w:w="3369"/>
        <w:gridCol w:w="5528"/>
        <w:gridCol w:w="1559"/>
      </w:tblGrid>
      <w:tr w:rsidR="00473E79" w:rsidRPr="008E29E4" w14:paraId="4D5FB958" w14:textId="77777777" w:rsidTr="00251CA2">
        <w:tblPrEx>
          <w:tblCellMar>
            <w:top w:w="0" w:type="dxa"/>
            <w:bottom w:w="0" w:type="dxa"/>
          </w:tblCellMar>
        </w:tblPrEx>
        <w:tc>
          <w:tcPr>
            <w:tcW w:w="3369" w:type="dxa"/>
            <w:tcBorders>
              <w:top w:val="single" w:sz="10" w:space="0" w:color="55288B"/>
              <w:left w:val="single" w:sz="10" w:space="0" w:color="55298B"/>
              <w:bottom w:val="single" w:sz="10" w:space="0" w:color="55288B"/>
              <w:right w:val="single" w:sz="11" w:space="0" w:color="562A8A"/>
            </w:tcBorders>
            <w:shd w:val="clear" w:color="auto" w:fill="CCBFDC"/>
            <w:tcMar>
              <w:top w:w="20" w:type="nil"/>
              <w:left w:w="20" w:type="nil"/>
              <w:bottom w:w="20" w:type="nil"/>
              <w:right w:w="20" w:type="nil"/>
            </w:tcMar>
            <w:vAlign w:val="center"/>
          </w:tcPr>
          <w:p w14:paraId="3B0603A5"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L’enseignant observe que l’enfant commence à réussir ou réussit régulièrement à... </w:t>
            </w:r>
          </w:p>
        </w:tc>
        <w:tc>
          <w:tcPr>
            <w:tcW w:w="5528"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70C69CD7" w14:textId="77777777" w:rsidR="00477538" w:rsidRPr="008E29E4"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Contexte, circonstances, dispositifs, activités... </w:t>
            </w:r>
          </w:p>
        </w:tc>
        <w:tc>
          <w:tcPr>
            <w:tcW w:w="1559" w:type="dxa"/>
            <w:tcBorders>
              <w:top w:val="single" w:sz="10" w:space="0" w:color="56298B"/>
              <w:left w:val="single" w:sz="10" w:space="0" w:color="55298B"/>
              <w:bottom w:val="single" w:sz="10" w:space="0" w:color="56298B"/>
              <w:right w:val="single" w:sz="10" w:space="0" w:color="55298B"/>
            </w:tcBorders>
            <w:shd w:val="clear" w:color="auto" w:fill="CCBFDC"/>
            <w:tcMar>
              <w:top w:w="20" w:type="nil"/>
              <w:left w:w="20" w:type="nil"/>
              <w:bottom w:w="20" w:type="nil"/>
              <w:right w:w="20" w:type="nil"/>
            </w:tcMar>
            <w:vAlign w:val="center"/>
          </w:tcPr>
          <w:p w14:paraId="0E7BE463" w14:textId="4F3D282D"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p>
          <w:p w14:paraId="7CE08BCA" w14:textId="639ABFE5" w:rsidR="00477538" w:rsidRPr="008E29E4" w:rsidRDefault="00FA2424" w:rsidP="00251CA2">
            <w:pPr>
              <w:widowControl w:val="0"/>
              <w:autoSpaceDE w:val="0"/>
              <w:autoSpaceDN w:val="0"/>
              <w:adjustRightInd w:val="0"/>
              <w:spacing w:after="240" w:line="300" w:lineRule="atLeast"/>
              <w:jc w:val="left"/>
              <w:rPr>
                <w:rFonts w:ascii="Times" w:eastAsiaTheme="minorEastAsia" w:hAnsi="Times" w:cs="Times"/>
                <w:color w:val="auto"/>
                <w:sz w:val="24"/>
                <w:szCs w:val="24"/>
              </w:rPr>
            </w:pPr>
            <w:r>
              <w:rPr>
                <w:rFonts w:ascii="Arial" w:eastAsiaTheme="minorEastAsia" w:hAnsi="Arial" w:cs="Arial"/>
                <w:color w:val="auto"/>
                <w:sz w:val="24"/>
                <w:szCs w:val="24"/>
              </w:rPr>
              <w:t xml:space="preserve">Pour les </w:t>
            </w:r>
            <w:proofErr w:type="spellStart"/>
            <w:r>
              <w:rPr>
                <w:rFonts w:ascii="Arial" w:eastAsiaTheme="minorEastAsia" w:hAnsi="Arial" w:cs="Arial"/>
                <w:color w:val="auto"/>
                <w:sz w:val="24"/>
                <w:szCs w:val="24"/>
              </w:rPr>
              <w:t>apprenti-</w:t>
            </w:r>
            <w:r w:rsidR="00477538" w:rsidRPr="008E29E4">
              <w:rPr>
                <w:rFonts w:ascii="Arial" w:eastAsiaTheme="minorEastAsia" w:hAnsi="Arial" w:cs="Arial"/>
                <w:color w:val="auto"/>
                <w:sz w:val="24"/>
                <w:szCs w:val="24"/>
              </w:rPr>
              <w:t>ssages</w:t>
            </w:r>
            <w:proofErr w:type="spellEnd"/>
            <w:r w:rsidR="00473E79">
              <w:rPr>
                <w:rFonts w:ascii="Arial" w:eastAsiaTheme="minorEastAsia" w:hAnsi="Arial" w:cs="Arial"/>
                <w:color w:val="auto"/>
                <w:sz w:val="24"/>
                <w:szCs w:val="24"/>
              </w:rPr>
              <w:t xml:space="preserve"> </w:t>
            </w:r>
            <w:r w:rsidR="00477538" w:rsidRPr="008E29E4">
              <w:rPr>
                <w:rFonts w:ascii="Arial" w:eastAsiaTheme="minorEastAsia" w:hAnsi="Arial" w:cs="Arial"/>
                <w:color w:val="auto"/>
                <w:sz w:val="24"/>
                <w:szCs w:val="24"/>
              </w:rPr>
              <w:t xml:space="preserve">suivants... </w:t>
            </w:r>
            <w:r w:rsidR="00477538" w:rsidRPr="008E29E4">
              <w:rPr>
                <w:rFonts w:ascii="Times" w:eastAsiaTheme="minorEastAsia" w:hAnsi="Times" w:cs="Times"/>
                <w:color w:val="auto"/>
                <w:sz w:val="24"/>
                <w:szCs w:val="24"/>
              </w:rPr>
              <w:t xml:space="preserve"> </w:t>
            </w:r>
          </w:p>
        </w:tc>
      </w:tr>
      <w:tr w:rsidR="00473E79" w:rsidRPr="008E29E4" w14:paraId="311F7868" w14:textId="77777777" w:rsidTr="00251CA2">
        <w:tblPrEx>
          <w:tblBorders>
            <w:top w:val="none" w:sz="0" w:space="0" w:color="auto"/>
          </w:tblBorders>
          <w:tblCellMar>
            <w:top w:w="0" w:type="dxa"/>
            <w:bottom w:w="0" w:type="dxa"/>
          </w:tblCellMar>
        </w:tblPrEx>
        <w:tc>
          <w:tcPr>
            <w:tcW w:w="3369" w:type="dxa"/>
            <w:tcBorders>
              <w:top w:val="single" w:sz="10" w:space="0" w:color="55288B"/>
              <w:left w:val="single" w:sz="10" w:space="0" w:color="auto"/>
              <w:bottom w:val="single" w:sz="10" w:space="0" w:color="auto"/>
              <w:right w:val="single" w:sz="11" w:space="0" w:color="auto"/>
            </w:tcBorders>
            <w:tcMar>
              <w:top w:w="20" w:type="nil"/>
              <w:left w:w="20" w:type="nil"/>
              <w:bottom w:w="20" w:type="nil"/>
              <w:right w:w="20" w:type="nil"/>
            </w:tcMar>
            <w:vAlign w:val="center"/>
          </w:tcPr>
          <w:p w14:paraId="6C5653A3"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associer le chiffre correspondant à un mot- nombre énoncé (jusqu’à10) ; </w:t>
            </w:r>
          </w:p>
          <w:p w14:paraId="46D378EB"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tracer chacun des chiffres ; </w:t>
            </w:r>
          </w:p>
          <w:p w14:paraId="39D2AE02"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associer une représentation figurée à une quantité dénombrée (constellations de dés, configurations de doigts, cartes à points...) ; </w:t>
            </w:r>
          </w:p>
          <w:p w14:paraId="626A4603"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associer le nombre écrit correspondant à une quantité dénombrée (jusqu’à 10). </w:t>
            </w:r>
          </w:p>
        </w:tc>
        <w:tc>
          <w:tcPr>
            <w:tcW w:w="5528" w:type="dxa"/>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220CBF47"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Des activités qui donnent du sens au nombre écrit en lien avec des situations concrètes de la vie de la classe : </w:t>
            </w:r>
          </w:p>
          <w:p w14:paraId="5E12C6A1"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montrer ou écrire un mot-nombre énoncé, • coder une quantité. </w:t>
            </w:r>
          </w:p>
        </w:tc>
        <w:tc>
          <w:tcPr>
            <w:tcW w:w="1559" w:type="dxa"/>
            <w:tcBorders>
              <w:top w:val="single" w:sz="10" w:space="0" w:color="56298B"/>
              <w:left w:val="single" w:sz="10" w:space="0" w:color="auto"/>
              <w:bottom w:val="single" w:sz="10" w:space="0" w:color="auto"/>
              <w:right w:val="single" w:sz="10" w:space="0" w:color="auto"/>
            </w:tcBorders>
            <w:tcMar>
              <w:top w:w="20" w:type="nil"/>
              <w:left w:w="20" w:type="nil"/>
              <w:bottom w:w="20" w:type="nil"/>
              <w:right w:w="20" w:type="nil"/>
            </w:tcMar>
            <w:vAlign w:val="center"/>
          </w:tcPr>
          <w:p w14:paraId="115B0567"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Écrire les nombres avec les chiffres. </w:t>
            </w:r>
          </w:p>
          <w:p w14:paraId="6BEAFE02" w14:textId="0DC5961B"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color w:val="auto"/>
                <w:sz w:val="24"/>
                <w:szCs w:val="24"/>
              </w:rPr>
              <w:t xml:space="preserve"> </w:t>
            </w:r>
          </w:p>
        </w:tc>
      </w:tr>
      <w:tr w:rsidR="00473E79" w:rsidRPr="008E29E4" w14:paraId="20EAB7C2" w14:textId="77777777" w:rsidTr="00251CA2">
        <w:tblPrEx>
          <w:tblBorders>
            <w:top w:val="none" w:sz="0" w:space="0" w:color="auto"/>
          </w:tblBorders>
          <w:tblCellMar>
            <w:top w:w="0" w:type="dxa"/>
            <w:bottom w:w="0" w:type="dxa"/>
          </w:tblCellMar>
        </w:tblPrEx>
        <w:tc>
          <w:tcPr>
            <w:tcW w:w="3369" w:type="dxa"/>
            <w:tcBorders>
              <w:top w:val="single" w:sz="10" w:space="0" w:color="auto"/>
              <w:left w:val="single" w:sz="10" w:space="0" w:color="auto"/>
              <w:bottom w:val="single" w:sz="10" w:space="0" w:color="auto"/>
              <w:right w:val="single" w:sz="11" w:space="0" w:color="auto"/>
            </w:tcBorders>
            <w:tcMar>
              <w:top w:w="20" w:type="nil"/>
              <w:left w:w="20" w:type="nil"/>
              <w:bottom w:w="20" w:type="nil"/>
              <w:right w:w="20" w:type="nil"/>
            </w:tcMar>
            <w:vAlign w:val="center"/>
          </w:tcPr>
          <w:p w14:paraId="1F5AF3FE" w14:textId="169906F9"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utiliser</w:t>
            </w:r>
            <w:r w:rsidR="00FB3F85">
              <w:rPr>
                <w:rFonts w:ascii="Arial" w:eastAsiaTheme="minorEastAsia" w:hAnsi="Arial" w:cs="Arial"/>
                <w:color w:val="auto"/>
                <w:sz w:val="24"/>
                <w:szCs w:val="24"/>
              </w:rPr>
              <w:t xml:space="preserve"> </w:t>
            </w:r>
            <w:r w:rsidRPr="008E29E4">
              <w:rPr>
                <w:rFonts w:ascii="Arial" w:eastAsiaTheme="minorEastAsia" w:hAnsi="Arial" w:cs="Arial"/>
                <w:color w:val="auto"/>
                <w:sz w:val="24"/>
                <w:szCs w:val="24"/>
              </w:rPr>
              <w:t>la</w:t>
            </w:r>
            <w:r w:rsidR="00FB3F85">
              <w:rPr>
                <w:rFonts w:ascii="Arial" w:eastAsiaTheme="minorEastAsia" w:hAnsi="Arial" w:cs="Arial"/>
                <w:color w:val="auto"/>
                <w:sz w:val="24"/>
                <w:szCs w:val="24"/>
              </w:rPr>
              <w:t xml:space="preserve"> </w:t>
            </w:r>
            <w:r w:rsidRPr="008E29E4">
              <w:rPr>
                <w:rFonts w:ascii="Arial" w:eastAsiaTheme="minorEastAsia" w:hAnsi="Arial" w:cs="Arial"/>
                <w:color w:val="auto"/>
                <w:sz w:val="24"/>
                <w:szCs w:val="24"/>
              </w:rPr>
              <w:t>perception</w:t>
            </w:r>
            <w:r w:rsidR="00FB3F85">
              <w:rPr>
                <w:rFonts w:ascii="Arial" w:eastAsiaTheme="minorEastAsia" w:hAnsi="Arial" w:cs="Arial"/>
                <w:color w:val="auto"/>
                <w:sz w:val="24"/>
                <w:szCs w:val="24"/>
              </w:rPr>
              <w:t xml:space="preserve"> </w:t>
            </w:r>
            <w:r w:rsidRPr="008E29E4">
              <w:rPr>
                <w:rFonts w:ascii="Arial" w:eastAsiaTheme="minorEastAsia" w:hAnsi="Arial" w:cs="Arial"/>
                <w:color w:val="auto"/>
                <w:sz w:val="24"/>
                <w:szCs w:val="24"/>
              </w:rPr>
              <w:t>globale</w:t>
            </w:r>
            <w:r w:rsidR="00FB3F85">
              <w:rPr>
                <w:rFonts w:ascii="Arial" w:eastAsiaTheme="minorEastAsia" w:hAnsi="Arial" w:cs="Arial"/>
                <w:color w:val="auto"/>
                <w:sz w:val="24"/>
                <w:szCs w:val="24"/>
              </w:rPr>
              <w:t xml:space="preserve"> </w:t>
            </w:r>
            <w:r w:rsidRPr="008E29E4">
              <w:rPr>
                <w:rFonts w:ascii="Arial" w:eastAsiaTheme="minorEastAsia" w:hAnsi="Arial" w:cs="Arial"/>
                <w:color w:val="auto"/>
                <w:sz w:val="24"/>
                <w:szCs w:val="24"/>
              </w:rPr>
              <w:t>pour</w:t>
            </w:r>
            <w:r w:rsidR="00FB3F85">
              <w:rPr>
                <w:rFonts w:ascii="Arial" w:eastAsiaTheme="minorEastAsia" w:hAnsi="Arial" w:cs="Arial"/>
                <w:color w:val="auto"/>
                <w:sz w:val="24"/>
                <w:szCs w:val="24"/>
              </w:rPr>
              <w:t xml:space="preserve"> </w:t>
            </w:r>
            <w:r w:rsidRPr="008E29E4">
              <w:rPr>
                <w:rFonts w:ascii="Arial" w:eastAsiaTheme="minorEastAsia" w:hAnsi="Arial" w:cs="Arial"/>
                <w:color w:val="auto"/>
                <w:sz w:val="24"/>
                <w:szCs w:val="24"/>
              </w:rPr>
              <w:t>quantifier</w:t>
            </w:r>
            <w:r w:rsidR="00FB3F85">
              <w:rPr>
                <w:rFonts w:ascii="Arial" w:eastAsiaTheme="minorEastAsia" w:hAnsi="Arial" w:cs="Arial"/>
                <w:color w:val="auto"/>
                <w:sz w:val="24"/>
                <w:szCs w:val="24"/>
              </w:rPr>
              <w:t>.</w:t>
            </w:r>
          </w:p>
        </w:tc>
        <w:tc>
          <w:tcPr>
            <w:tcW w:w="5528"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7F4F1250"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Des activités visent à faire varier la taille des collections pour permettre à l’élève de quantifier un, deux, trois éléments puis de repérer un, deux, trois éléments dans une collection plus large. </w:t>
            </w:r>
          </w:p>
          <w:p w14:paraId="177E8C5D"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Les situations de dénombrement visent l’association d’une représentation à une quantité donnée au moins jusqu’à dix. </w:t>
            </w:r>
          </w:p>
        </w:tc>
        <w:tc>
          <w:tcPr>
            <w:tcW w:w="1559" w:type="dxa"/>
            <w:vMerge w:val="restar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CDB84A7"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Dénombrer </w:t>
            </w:r>
          </w:p>
          <w:p w14:paraId="3C7CF5B3"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649C0FB2" wp14:editId="5212FB27">
                  <wp:extent cx="13970" cy="1397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r w:rsidRPr="008E29E4">
              <w:rPr>
                <w:rFonts w:ascii="Times" w:eastAsiaTheme="minorEastAsia" w:hAnsi="Times" w:cs="Times"/>
                <w:noProof/>
                <w:color w:val="auto"/>
                <w:sz w:val="24"/>
                <w:szCs w:val="24"/>
                <w:lang w:eastAsia="fr-FR"/>
              </w:rPr>
              <w:drawing>
                <wp:inline distT="0" distB="0" distL="0" distR="0" wp14:anchorId="3D39D8B1" wp14:editId="6F3AC9C0">
                  <wp:extent cx="13970" cy="1397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p>
        </w:tc>
      </w:tr>
      <w:tr w:rsidR="00473E79" w:rsidRPr="008E29E4" w14:paraId="430B7750" w14:textId="77777777" w:rsidTr="00251CA2">
        <w:tblPrEx>
          <w:tblBorders>
            <w:top w:val="none" w:sz="0" w:space="0" w:color="auto"/>
          </w:tblBorders>
          <w:tblCellMar>
            <w:top w:w="0" w:type="dxa"/>
            <w:bottom w:w="0" w:type="dxa"/>
          </w:tblCellMar>
        </w:tblPrEx>
        <w:tc>
          <w:tcPr>
            <w:tcW w:w="3369" w:type="dxa"/>
            <w:tcBorders>
              <w:top w:val="single" w:sz="10" w:space="0" w:color="auto"/>
              <w:left w:val="single" w:sz="10" w:space="0" w:color="auto"/>
              <w:bottom w:val="single" w:sz="10" w:space="0" w:color="auto"/>
              <w:right w:val="single" w:sz="11" w:space="0" w:color="auto"/>
            </w:tcBorders>
            <w:tcMar>
              <w:top w:w="20" w:type="nil"/>
              <w:left w:w="20" w:type="nil"/>
              <w:bottom w:w="20" w:type="nil"/>
              <w:right w:w="20" w:type="nil"/>
            </w:tcMar>
            <w:vAlign w:val="center"/>
          </w:tcPr>
          <w:p w14:paraId="67985E3F"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énumérer : prendre en compte chaque unité d’une même collection sans en oublier ni pointer deux fois la même ; </w:t>
            </w:r>
          </w:p>
          <w:p w14:paraId="5B648FBF"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utiliser le dernier mot nombre cité pour exprimer la quantité de la collection (mémoire de la quantité). </w:t>
            </w:r>
          </w:p>
        </w:tc>
        <w:tc>
          <w:tcPr>
            <w:tcW w:w="5528"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3BEB6BB4"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Des situations d’apprentissage permettant de s’appuyer sur une collection, un codage repérant les éléments déjà comptés par la construction d’un trajet graphique ou mental. </w:t>
            </w:r>
          </w:p>
          <w:p w14:paraId="518F9FA6"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3D5AC795" wp14:editId="5EA76A48">
                  <wp:extent cx="13970" cy="1397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p>
        </w:tc>
        <w:tc>
          <w:tcPr>
            <w:tcW w:w="1559" w:type="dxa"/>
            <w:vMerge/>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EC732E" w14:textId="77777777" w:rsidR="00477538" w:rsidRPr="008E29E4" w:rsidRDefault="00477538">
            <w:pPr>
              <w:widowControl w:val="0"/>
              <w:autoSpaceDE w:val="0"/>
              <w:autoSpaceDN w:val="0"/>
              <w:adjustRightInd w:val="0"/>
              <w:jc w:val="left"/>
              <w:rPr>
                <w:rFonts w:ascii="Times" w:eastAsiaTheme="minorEastAsia" w:hAnsi="Times" w:cs="Times"/>
                <w:color w:val="auto"/>
                <w:sz w:val="24"/>
                <w:szCs w:val="24"/>
              </w:rPr>
            </w:pPr>
          </w:p>
        </w:tc>
      </w:tr>
      <w:tr w:rsidR="00473E79" w:rsidRPr="008E29E4" w14:paraId="795005AA" w14:textId="77777777" w:rsidTr="00251CA2">
        <w:tblPrEx>
          <w:tblBorders>
            <w:top w:val="none" w:sz="0" w:space="0" w:color="auto"/>
          </w:tblBorders>
          <w:tblCellMar>
            <w:top w:w="0" w:type="dxa"/>
            <w:bottom w:w="0" w:type="dxa"/>
          </w:tblCellMar>
        </w:tblPrEx>
        <w:tc>
          <w:tcPr>
            <w:tcW w:w="3369" w:type="dxa"/>
            <w:tcBorders>
              <w:top w:val="single" w:sz="10" w:space="0" w:color="auto"/>
              <w:left w:val="single" w:sz="10" w:space="0" w:color="auto"/>
              <w:bottom w:val="single" w:sz="10" w:space="0" w:color="auto"/>
              <w:right w:val="single" w:sz="11" w:space="0" w:color="auto"/>
            </w:tcBorders>
            <w:tcMar>
              <w:top w:w="20" w:type="nil"/>
              <w:left w:w="20" w:type="nil"/>
              <w:bottom w:w="20" w:type="nil"/>
              <w:right w:w="20" w:type="nil"/>
            </w:tcMar>
            <w:vAlign w:val="center"/>
          </w:tcPr>
          <w:p w14:paraId="29ED1C78"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dénombrer les quantités jusqu’à dix ; </w:t>
            </w:r>
          </w:p>
        </w:tc>
        <w:tc>
          <w:tcPr>
            <w:tcW w:w="5528"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0869EA5C"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Des situations d’apprentissage faisant varier la nature des collections et leur organisation spatiale. </w:t>
            </w:r>
          </w:p>
          <w:p w14:paraId="625078D4"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En prenant appui sur des dénombrements de collections : </w:t>
            </w:r>
          </w:p>
          <w:p w14:paraId="443839B4"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d’objets déplaçables ; • d’objets fixes organisés spatialement ; • d’objets fixes éloignés ou non. </w:t>
            </w:r>
          </w:p>
        </w:tc>
        <w:tc>
          <w:tcPr>
            <w:tcW w:w="1559" w:type="dxa"/>
            <w:vMerge/>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C0A7C51" w14:textId="77777777" w:rsidR="00477538" w:rsidRPr="008E29E4" w:rsidRDefault="00477538">
            <w:pPr>
              <w:widowControl w:val="0"/>
              <w:autoSpaceDE w:val="0"/>
              <w:autoSpaceDN w:val="0"/>
              <w:adjustRightInd w:val="0"/>
              <w:jc w:val="left"/>
              <w:rPr>
                <w:rFonts w:ascii="Times" w:eastAsiaTheme="minorEastAsia" w:hAnsi="Times" w:cs="Times"/>
                <w:color w:val="auto"/>
                <w:sz w:val="24"/>
                <w:szCs w:val="24"/>
              </w:rPr>
            </w:pPr>
          </w:p>
        </w:tc>
      </w:tr>
      <w:tr w:rsidR="00473E79" w:rsidRPr="008E29E4" w14:paraId="274AAD49" w14:textId="77777777" w:rsidTr="00251CA2">
        <w:tblPrEx>
          <w:tblCellMar>
            <w:top w:w="0" w:type="dxa"/>
            <w:bottom w:w="0" w:type="dxa"/>
          </w:tblCellMar>
        </w:tblPrEx>
        <w:tc>
          <w:tcPr>
            <w:tcW w:w="3369" w:type="dxa"/>
            <w:tcBorders>
              <w:top w:val="single" w:sz="10" w:space="0" w:color="auto"/>
              <w:left w:val="single" w:sz="10" w:space="0" w:color="auto"/>
              <w:bottom w:val="single" w:sz="10" w:space="0" w:color="auto"/>
              <w:right w:val="single" w:sz="11" w:space="0" w:color="auto"/>
            </w:tcBorders>
            <w:tcMar>
              <w:top w:w="20" w:type="nil"/>
              <w:left w:w="20" w:type="nil"/>
              <w:bottom w:w="20" w:type="nil"/>
              <w:right w:w="20" w:type="nil"/>
            </w:tcMar>
            <w:vAlign w:val="center"/>
          </w:tcPr>
          <w:p w14:paraId="0DF64D96"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construire des collections. </w:t>
            </w:r>
          </w:p>
        </w:tc>
        <w:tc>
          <w:tcPr>
            <w:tcW w:w="5528" w:type="dxa"/>
            <w:tcBorders>
              <w:top w:val="single" w:sz="10" w:space="0" w:color="auto"/>
              <w:left w:val="single" w:sz="11" w:space="0" w:color="auto"/>
              <w:bottom w:val="single" w:sz="10" w:space="0" w:color="auto"/>
              <w:right w:val="single" w:sz="10" w:space="0" w:color="auto"/>
            </w:tcBorders>
            <w:tcMar>
              <w:top w:w="20" w:type="nil"/>
              <w:left w:w="20" w:type="nil"/>
              <w:bottom w:w="20" w:type="nil"/>
              <w:right w:w="20" w:type="nil"/>
            </w:tcMar>
            <w:vAlign w:val="center"/>
          </w:tcPr>
          <w:p w14:paraId="3D0B2CAA" w14:textId="77777777" w:rsidR="00477538" w:rsidRPr="008E29E4" w:rsidRDefault="00477538">
            <w:pPr>
              <w:widowControl w:val="0"/>
              <w:autoSpaceDE w:val="0"/>
              <w:autoSpaceDN w:val="0"/>
              <w:adjustRightInd w:val="0"/>
              <w:spacing w:after="240" w:line="280" w:lineRule="atLeast"/>
              <w:jc w:val="left"/>
              <w:rPr>
                <w:rFonts w:ascii="Times" w:eastAsiaTheme="minorEastAsia" w:hAnsi="Times" w:cs="Times"/>
                <w:color w:val="auto"/>
                <w:sz w:val="24"/>
                <w:szCs w:val="24"/>
              </w:rPr>
            </w:pPr>
            <w:r w:rsidRPr="008E29E4">
              <w:rPr>
                <w:rFonts w:ascii="Arial" w:eastAsiaTheme="minorEastAsia" w:hAnsi="Arial" w:cs="Arial"/>
                <w:color w:val="auto"/>
                <w:sz w:val="24"/>
                <w:szCs w:val="24"/>
              </w:rPr>
              <w:t xml:space="preserve">• Des situations pour construire une collection de même cardinal qu’une collection témoin à l’aide des doigts, d’objets, de points, des mots-nombres énoncés. </w:t>
            </w:r>
          </w:p>
        </w:tc>
        <w:tc>
          <w:tcPr>
            <w:tcW w:w="1559"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0BD3FEF" w14:textId="77777777" w:rsidR="00477538" w:rsidRPr="008E29E4"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8E29E4">
              <w:rPr>
                <w:rFonts w:ascii="Times" w:eastAsiaTheme="minorEastAsia" w:hAnsi="Times" w:cs="Times"/>
                <w:noProof/>
                <w:color w:val="auto"/>
                <w:sz w:val="24"/>
                <w:szCs w:val="24"/>
                <w:lang w:eastAsia="fr-FR"/>
              </w:rPr>
              <w:drawing>
                <wp:inline distT="0" distB="0" distL="0" distR="0" wp14:anchorId="57A52D1D" wp14:editId="76C08D05">
                  <wp:extent cx="13970" cy="1397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r w:rsidRPr="008E29E4">
              <w:rPr>
                <w:rFonts w:ascii="Times" w:eastAsiaTheme="minorEastAsia" w:hAnsi="Times" w:cs="Times"/>
                <w:noProof/>
                <w:color w:val="auto"/>
                <w:sz w:val="24"/>
                <w:szCs w:val="24"/>
                <w:lang w:eastAsia="fr-FR"/>
              </w:rPr>
              <w:drawing>
                <wp:inline distT="0" distB="0" distL="0" distR="0" wp14:anchorId="53EEF0B3" wp14:editId="1094F4D9">
                  <wp:extent cx="13970" cy="1397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E29E4">
              <w:rPr>
                <w:rFonts w:ascii="Times" w:eastAsiaTheme="minorEastAsia" w:hAnsi="Times" w:cs="Times"/>
                <w:color w:val="auto"/>
                <w:sz w:val="24"/>
                <w:szCs w:val="24"/>
              </w:rPr>
              <w:t xml:space="preserve"> </w:t>
            </w:r>
          </w:p>
        </w:tc>
      </w:tr>
    </w:tbl>
    <w:p w14:paraId="373DE3D6" w14:textId="77777777" w:rsidR="00477538" w:rsidRPr="00473E79" w:rsidRDefault="00477538" w:rsidP="00251CA2">
      <w:pPr>
        <w:widowControl w:val="0"/>
        <w:autoSpaceDE w:val="0"/>
        <w:autoSpaceDN w:val="0"/>
        <w:adjustRightInd w:val="0"/>
        <w:spacing w:line="200" w:lineRule="atLeast"/>
        <w:jc w:val="left"/>
        <w:rPr>
          <w:rFonts w:ascii="Times" w:eastAsiaTheme="minorEastAsia" w:hAnsi="Times" w:cs="Times"/>
          <w:b/>
          <w:color w:val="auto"/>
          <w:sz w:val="2"/>
          <w:szCs w:val="24"/>
        </w:rPr>
      </w:pPr>
      <w:r w:rsidRPr="00473E79">
        <w:rPr>
          <w:rFonts w:ascii="Verdana" w:eastAsiaTheme="minorEastAsia" w:hAnsi="Verdana" w:cs="Verdana"/>
          <w:b/>
          <w:color w:val="3424A5"/>
          <w:sz w:val="40"/>
          <w:szCs w:val="66"/>
        </w:rPr>
        <w:t xml:space="preserve">Explorer des formes, des grandeurs, des suites organisées </w:t>
      </w:r>
    </w:p>
    <w:p w14:paraId="34ECCE72" w14:textId="2CC4F7A2" w:rsidR="00477538" w:rsidRDefault="00477538" w:rsidP="00477538">
      <w:pPr>
        <w:widowControl w:val="0"/>
        <w:autoSpaceDE w:val="0"/>
        <w:autoSpaceDN w:val="0"/>
        <w:adjustRightInd w:val="0"/>
        <w:spacing w:line="280" w:lineRule="atLeast"/>
        <w:jc w:val="left"/>
        <w:rPr>
          <w:rFonts w:ascii="Times" w:eastAsiaTheme="minorEastAsia" w:hAnsi="Times" w:cs="Times"/>
          <w:color w:val="auto"/>
          <w:sz w:val="24"/>
          <w:szCs w:val="24"/>
        </w:rPr>
      </w:pPr>
    </w:p>
    <w:tbl>
      <w:tblPr>
        <w:tblW w:w="8613" w:type="dxa"/>
        <w:tblBorders>
          <w:top w:val="nil"/>
          <w:left w:val="nil"/>
          <w:right w:val="nil"/>
        </w:tblBorders>
        <w:tblLayout w:type="fixed"/>
        <w:tblLook w:val="0000" w:firstRow="0" w:lastRow="0" w:firstColumn="0" w:lastColumn="0" w:noHBand="0" w:noVBand="0"/>
      </w:tblPr>
      <w:tblGrid>
        <w:gridCol w:w="3085"/>
        <w:gridCol w:w="5528"/>
      </w:tblGrid>
      <w:tr w:rsidR="00473E79" w:rsidRPr="009D73B7" w14:paraId="0D002195" w14:textId="77777777" w:rsidTr="00473E79">
        <w:tblPrEx>
          <w:tblCellMar>
            <w:top w:w="0" w:type="dxa"/>
            <w:bottom w:w="0" w:type="dxa"/>
          </w:tblCellMar>
        </w:tblPrEx>
        <w:tc>
          <w:tcPr>
            <w:tcW w:w="3085" w:type="dxa"/>
            <w:tcBorders>
              <w:top w:val="single" w:sz="10" w:space="0" w:color="55288B"/>
              <w:left w:val="single" w:sz="11" w:space="0" w:color="56298A"/>
              <w:bottom w:val="single" w:sz="10" w:space="0" w:color="55288B"/>
              <w:right w:val="single" w:sz="11" w:space="0" w:color="56288B"/>
            </w:tcBorders>
            <w:shd w:val="clear" w:color="auto" w:fill="CCBFDC"/>
            <w:tcMar>
              <w:top w:w="20" w:type="nil"/>
              <w:left w:w="20" w:type="nil"/>
              <w:bottom w:w="20" w:type="nil"/>
              <w:right w:w="20" w:type="nil"/>
            </w:tcMar>
            <w:vAlign w:val="center"/>
          </w:tcPr>
          <w:p w14:paraId="7BB8B01F"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Objectif(s) visé(s) : </w:t>
            </w:r>
          </w:p>
        </w:tc>
        <w:tc>
          <w:tcPr>
            <w:tcW w:w="5528" w:type="dxa"/>
            <w:tcBorders>
              <w:top w:val="single" w:sz="10" w:space="0" w:color="56298B"/>
              <w:left w:val="single" w:sz="11" w:space="0" w:color="56288B"/>
              <w:bottom w:val="single" w:sz="10" w:space="0" w:color="56298B"/>
              <w:right w:val="single" w:sz="10" w:space="0" w:color="562A8A"/>
            </w:tcBorders>
            <w:shd w:val="clear" w:color="auto" w:fill="CCBFDC"/>
            <w:tcMar>
              <w:top w:w="20" w:type="nil"/>
              <w:left w:w="20" w:type="nil"/>
              <w:bottom w:w="20" w:type="nil"/>
              <w:right w:w="20" w:type="nil"/>
            </w:tcMar>
            <w:vAlign w:val="center"/>
          </w:tcPr>
          <w:p w14:paraId="774984C1"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1ABC81C9" wp14:editId="4CCBBE68">
                  <wp:extent cx="13970" cy="1397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5A76C4BE"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Ce qui est attendu des enfants en fin d’école maternelle : </w:t>
            </w:r>
          </w:p>
          <w:p w14:paraId="196684C4"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3F547313" wp14:editId="25CF6AD5">
                  <wp:extent cx="13970" cy="1397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9D73B7">
              <w:rPr>
                <w:rFonts w:ascii="Times" w:eastAsiaTheme="minorEastAsia" w:hAnsi="Times" w:cs="Times"/>
                <w:color w:val="auto"/>
                <w:sz w:val="24"/>
                <w:szCs w:val="24"/>
              </w:rPr>
              <w:t xml:space="preserve"> </w:t>
            </w:r>
          </w:p>
        </w:tc>
      </w:tr>
      <w:tr w:rsidR="00473E79" w:rsidRPr="009D73B7" w14:paraId="30C086B0" w14:textId="77777777" w:rsidTr="00473E79">
        <w:tblPrEx>
          <w:tblCellMar>
            <w:top w:w="0" w:type="dxa"/>
            <w:bottom w:w="0" w:type="dxa"/>
          </w:tblCellMar>
        </w:tblPrEx>
        <w:tc>
          <w:tcPr>
            <w:tcW w:w="3085"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59150474"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Construire des connaissances et des repères sur quelques formes et grandeurs et sur des suites organisées. </w:t>
            </w:r>
          </w:p>
        </w:tc>
        <w:tc>
          <w:tcPr>
            <w:tcW w:w="5528" w:type="dxa"/>
            <w:tcBorders>
              <w:top w:val="single" w:sz="10" w:space="0" w:color="56298B"/>
              <w:left w:val="single" w:sz="11" w:space="0" w:color="auto"/>
              <w:bottom w:val="single" w:sz="10" w:space="0" w:color="auto"/>
              <w:right w:val="single" w:sz="10" w:space="0" w:color="auto"/>
            </w:tcBorders>
            <w:tcMar>
              <w:top w:w="20" w:type="nil"/>
              <w:left w:w="20" w:type="nil"/>
              <w:bottom w:w="20" w:type="nil"/>
              <w:right w:w="20" w:type="nil"/>
            </w:tcMar>
            <w:vAlign w:val="center"/>
          </w:tcPr>
          <w:p w14:paraId="1658C03E"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Classer des objets en fonction de caractéristiques liées à leur forme. Savoir nommer quelques formes planes (carré, triangle, cercle ou disque, rectangle) et reconnaître quelques solides (cube, pyramide, boule, cylindre). </w:t>
            </w:r>
          </w:p>
          <w:p w14:paraId="65D3C5CA"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Classer ou ranger des objets selon un critère de longueur ou de masse ou de contenance. </w:t>
            </w:r>
          </w:p>
          <w:p w14:paraId="0857CA3A"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Reproduire un assemblage à partir d’un modèle (puzzle, pavage, assemblage de solides). </w:t>
            </w:r>
          </w:p>
          <w:p w14:paraId="2AF5BF81"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Reproduire, dessiner des formes planes. Identifier le principe d’organisation d’un algorithme et poursuivre son application. </w:t>
            </w:r>
          </w:p>
        </w:tc>
      </w:tr>
    </w:tbl>
    <w:p w14:paraId="0A4F036A" w14:textId="77777777" w:rsidR="00477538" w:rsidRPr="009D73B7" w:rsidRDefault="00477538" w:rsidP="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FD9B09"/>
          <w:sz w:val="24"/>
          <w:szCs w:val="24"/>
        </w:rPr>
        <w:t xml:space="preserve">Pages : 39 sur 50 </w:t>
      </w:r>
    </w:p>
    <w:tbl>
      <w:tblPr>
        <w:tblW w:w="10598" w:type="dxa"/>
        <w:tblBorders>
          <w:top w:val="nil"/>
          <w:left w:val="nil"/>
          <w:right w:val="nil"/>
        </w:tblBorders>
        <w:tblLayout w:type="fixed"/>
        <w:tblLook w:val="0000" w:firstRow="0" w:lastRow="0" w:firstColumn="0" w:lastColumn="0" w:noHBand="0" w:noVBand="0"/>
      </w:tblPr>
      <w:tblGrid>
        <w:gridCol w:w="4503"/>
        <w:gridCol w:w="4677"/>
        <w:gridCol w:w="1418"/>
      </w:tblGrid>
      <w:tr w:rsidR="00473E79" w:rsidRPr="009D73B7" w14:paraId="5250CDC3" w14:textId="77777777" w:rsidTr="009D73B7">
        <w:tblPrEx>
          <w:tblCellMar>
            <w:top w:w="0" w:type="dxa"/>
            <w:bottom w:w="0" w:type="dxa"/>
          </w:tblCellMar>
        </w:tblPrEx>
        <w:tc>
          <w:tcPr>
            <w:tcW w:w="4503" w:type="dxa"/>
            <w:tcBorders>
              <w:top w:val="single" w:sz="10" w:space="0" w:color="55288B"/>
              <w:left w:val="single" w:sz="11" w:space="0" w:color="56298B"/>
              <w:bottom w:val="single" w:sz="10" w:space="0" w:color="55288B"/>
              <w:right w:val="single" w:sz="11" w:space="0" w:color="562A8A"/>
            </w:tcBorders>
            <w:shd w:val="clear" w:color="auto" w:fill="CCBFDC"/>
            <w:tcMar>
              <w:top w:w="20" w:type="nil"/>
              <w:left w:w="20" w:type="nil"/>
              <w:bottom w:w="20" w:type="nil"/>
              <w:right w:w="20" w:type="nil"/>
            </w:tcMar>
            <w:vAlign w:val="center"/>
          </w:tcPr>
          <w:p w14:paraId="14429D67"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L’enseignant observe que l’enfant commence à réussir ou réussit régulièrement à... </w:t>
            </w:r>
          </w:p>
        </w:tc>
        <w:tc>
          <w:tcPr>
            <w:tcW w:w="4677" w:type="dxa"/>
            <w:tcBorders>
              <w:top w:val="single" w:sz="10" w:space="0" w:color="55288B"/>
              <w:left w:val="single" w:sz="11" w:space="0" w:color="562A8A"/>
              <w:bottom w:val="single" w:sz="10" w:space="0" w:color="55288B"/>
              <w:right w:val="single" w:sz="11" w:space="0" w:color="562A8A"/>
            </w:tcBorders>
            <w:shd w:val="clear" w:color="auto" w:fill="CCBFDC"/>
            <w:tcMar>
              <w:top w:w="20" w:type="nil"/>
              <w:left w:w="20" w:type="nil"/>
              <w:bottom w:w="20" w:type="nil"/>
              <w:right w:w="20" w:type="nil"/>
            </w:tcMar>
            <w:vAlign w:val="center"/>
          </w:tcPr>
          <w:p w14:paraId="5A9D2C1E"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Contexte, circonstances, dispositifs, activités... </w:t>
            </w:r>
          </w:p>
        </w:tc>
        <w:tc>
          <w:tcPr>
            <w:tcW w:w="1418" w:type="dxa"/>
            <w:tcBorders>
              <w:top w:val="single" w:sz="10" w:space="0" w:color="55288B"/>
              <w:left w:val="single" w:sz="11" w:space="0" w:color="562A8A"/>
              <w:bottom w:val="single" w:sz="10" w:space="0" w:color="55288B"/>
              <w:right w:val="single" w:sz="10" w:space="0" w:color="55298B"/>
            </w:tcBorders>
            <w:shd w:val="clear" w:color="auto" w:fill="CCBFDC"/>
            <w:tcMar>
              <w:top w:w="20" w:type="nil"/>
              <w:left w:w="20" w:type="nil"/>
              <w:bottom w:w="20" w:type="nil"/>
              <w:right w:w="20" w:type="nil"/>
            </w:tcMar>
            <w:vAlign w:val="center"/>
          </w:tcPr>
          <w:p w14:paraId="5AB26179"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2142396F" wp14:editId="04A218D1">
                  <wp:extent cx="13970" cy="1397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0852525A"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Pour les apprentissages suivants... </w:t>
            </w:r>
          </w:p>
          <w:p w14:paraId="592DEFAE"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599EB3F6" wp14:editId="386ABA63">
                  <wp:extent cx="13970" cy="1397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9D73B7">
              <w:rPr>
                <w:rFonts w:ascii="Times" w:eastAsiaTheme="minorEastAsia" w:hAnsi="Times" w:cs="Times"/>
                <w:color w:val="auto"/>
                <w:sz w:val="24"/>
                <w:szCs w:val="24"/>
              </w:rPr>
              <w:t xml:space="preserve"> </w:t>
            </w:r>
          </w:p>
        </w:tc>
      </w:tr>
      <w:tr w:rsidR="00473E79" w:rsidRPr="009D73B7" w14:paraId="00280FAC" w14:textId="77777777" w:rsidTr="009D73B7">
        <w:tblPrEx>
          <w:tblBorders>
            <w:top w:val="none" w:sz="0" w:space="0" w:color="auto"/>
          </w:tblBorders>
          <w:tblCellMar>
            <w:top w:w="0" w:type="dxa"/>
            <w:bottom w:w="0" w:type="dxa"/>
          </w:tblCellMar>
        </w:tblPrEx>
        <w:tc>
          <w:tcPr>
            <w:tcW w:w="4503"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00F28CBB"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reconnaitre globalement des solides par la vue et par le toucher ; </w:t>
            </w:r>
          </w:p>
          <w:p w14:paraId="740DA212"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reconnaitre globalement des formes planes par la vue ; </w:t>
            </w:r>
          </w:p>
          <w:p w14:paraId="4A0F78F6"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reconnaître, distinguer des solides puis des formes planes ; </w:t>
            </w:r>
          </w:p>
          <w:p w14:paraId="4EA05473"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appréhender les objets selon le critère d’une grandeur particulière (sa longueur, sa masse ou son volume) ; </w:t>
            </w:r>
          </w:p>
          <w:p w14:paraId="77D4ACDF"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comparer deux objets selon une seule de ces grandeurs (lorsque cela est possible) en ayant recours à un troisième objet de référence pour pouvoir faire cette comparaison : </w:t>
            </w:r>
          </w:p>
          <w:p w14:paraId="34F8D2D6"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ranger des tours de cubes empilés de la plus courte à la plus longue (domaine des longueurs) ; </w:t>
            </w:r>
          </w:p>
          <w:p w14:paraId="48BD1DE7"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trier des objets en plaçant les plus lourds sous une étagère et les plus légers sur cette étagère (domaine des masses) ; </w:t>
            </w:r>
          </w:p>
          <w:p w14:paraId="1A310FAC"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trier des objets en plaçant les plus gros dans un grand carton et les plus petits dans une boîte (domaine des volumes) ; </w:t>
            </w:r>
          </w:p>
          <w:p w14:paraId="6732EA69"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construire des tours en empilant des disques de plus en plus petits (domaine des aires) ; </w:t>
            </w:r>
          </w:p>
          <w:p w14:paraId="2757AF70"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choisir des formes en vue de recouvrir une surface (domaine des aires). </w:t>
            </w:r>
          </w:p>
          <w:p w14:paraId="09EB6584" w14:textId="052E09E0" w:rsidR="00477538" w:rsidRPr="009D73B7" w:rsidRDefault="00477538" w:rsidP="009D73B7">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appréhender la notion d’alignement ; </w:t>
            </w:r>
          </w:p>
        </w:tc>
        <w:tc>
          <w:tcPr>
            <w:tcW w:w="4677" w:type="dxa"/>
            <w:tcBorders>
              <w:top w:val="single" w:sz="10" w:space="0" w:color="55288B"/>
              <w:left w:val="single" w:sz="11" w:space="0" w:color="auto"/>
              <w:bottom w:val="single" w:sz="10" w:space="0" w:color="auto"/>
              <w:right w:val="single" w:sz="11" w:space="0" w:color="auto"/>
            </w:tcBorders>
            <w:tcMar>
              <w:top w:w="20" w:type="nil"/>
              <w:left w:w="20" w:type="nil"/>
              <w:bottom w:w="20" w:type="nil"/>
              <w:right w:w="20" w:type="nil"/>
            </w:tcMar>
            <w:vAlign w:val="center"/>
          </w:tcPr>
          <w:p w14:paraId="26A222FD"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A l’occasion de situations de manipulation qui : </w:t>
            </w:r>
          </w:p>
          <w:p w14:paraId="352519EE"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conduisent les enfants à mieux distinguer différents types de critères (forme, longueur, masse, contenance essentiellement). </w:t>
            </w:r>
          </w:p>
          <w:p w14:paraId="6B608704"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permettent d’utiliser un vocabulaire précis (cube, boule, pyramide, cylindre, carré, rectangle, triangle, cercle ou disque). </w:t>
            </w:r>
          </w:p>
          <w:p w14:paraId="71289033"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En prenant appui sur : </w:t>
            </w:r>
          </w:p>
          <w:p w14:paraId="3C30D629"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Des jeux de reconnaissance tactile, par exemple sortir d’un sac exactement le même objet que celui montré ou désigné, qui contribuent à l’appréhension des formes, à la construction d’images mentales et permettent à l’enseignant d’utiliser un vocabulaire précis fondé au début sur des oppositions : lourd/ léger, plein/vide, court/long... </w:t>
            </w:r>
          </w:p>
          <w:p w14:paraId="3894B072"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Des jeux de Kim (retrouver un objet enlevé ou déplacé dans un lot d’objets) qui incitent à construire des images spatiales pour mémoriser. </w:t>
            </w:r>
          </w:p>
          <w:p w14:paraId="3B41DF2E"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Des jeux d’association d’un objet à une de ses représentations (photo, dessin). </w:t>
            </w:r>
          </w:p>
        </w:tc>
        <w:tc>
          <w:tcPr>
            <w:tcW w:w="1418" w:type="dxa"/>
            <w:vMerge w:val="restart"/>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691BB26A"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Explorer des formes, des grandeurs, des suites organisées.... </w:t>
            </w:r>
          </w:p>
          <w:p w14:paraId="66986A04"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5E4F02D4" wp14:editId="182C5928">
                  <wp:extent cx="13970" cy="1397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9D73B7">
              <w:rPr>
                <w:rFonts w:ascii="Times" w:eastAsiaTheme="minorEastAsia" w:hAnsi="Times" w:cs="Times"/>
                <w:color w:val="auto"/>
                <w:sz w:val="24"/>
                <w:szCs w:val="24"/>
              </w:rPr>
              <w:t xml:space="preserve"> </w:t>
            </w:r>
          </w:p>
        </w:tc>
      </w:tr>
      <w:tr w:rsidR="00473E79" w:rsidRPr="009D73B7" w14:paraId="639B510D" w14:textId="77777777" w:rsidTr="009D73B7">
        <w:tblPrEx>
          <w:tblCellMar>
            <w:top w:w="0" w:type="dxa"/>
            <w:bottom w:w="0" w:type="dxa"/>
          </w:tblCellMar>
        </w:tblPrEx>
        <w:tc>
          <w:tcPr>
            <w:tcW w:w="4503"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1BEDE266"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organiser des suites d’objets en fonction de critères de formes et de couleurs à partir d’algorithmes simples. </w:t>
            </w:r>
          </w:p>
          <w:p w14:paraId="10131D47"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Et progressivement à : </w:t>
            </w:r>
          </w:p>
          <w:p w14:paraId="4856F3D3"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reconnaître un rythme dans une suite organisée ; </w:t>
            </w:r>
          </w:p>
          <w:p w14:paraId="4AD4C6FC"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continuer cette suite ; </w:t>
            </w:r>
          </w:p>
          <w:p w14:paraId="5FE28983"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inventer des « rythmes » de plus en plus compliqués ; </w:t>
            </w:r>
          </w:p>
          <w:p w14:paraId="10C249DF"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 compléter des manques dans une suite organisée. </w:t>
            </w:r>
          </w:p>
        </w:tc>
        <w:tc>
          <w:tcPr>
            <w:tcW w:w="4677" w:type="dxa"/>
            <w:tcBorders>
              <w:top w:val="single" w:sz="10" w:space="0" w:color="auto"/>
              <w:left w:val="single" w:sz="11" w:space="0" w:color="auto"/>
              <w:bottom w:val="single" w:sz="10" w:space="0" w:color="auto"/>
              <w:right w:val="single" w:sz="11" w:space="0" w:color="auto"/>
            </w:tcBorders>
            <w:tcMar>
              <w:top w:w="20" w:type="nil"/>
              <w:left w:w="20" w:type="nil"/>
              <w:bottom w:w="20" w:type="nil"/>
              <w:right w:w="20" w:type="nil"/>
            </w:tcMar>
            <w:vAlign w:val="center"/>
          </w:tcPr>
          <w:p w14:paraId="0898BD57" w14:textId="77777777" w:rsidR="00477538" w:rsidRPr="009D73B7" w:rsidRDefault="00477538">
            <w:pPr>
              <w:widowControl w:val="0"/>
              <w:autoSpaceDE w:val="0"/>
              <w:autoSpaceDN w:val="0"/>
              <w:adjustRightInd w:val="0"/>
              <w:spacing w:line="280" w:lineRule="atLeast"/>
              <w:jc w:val="left"/>
              <w:rPr>
                <w:rFonts w:ascii="Times" w:eastAsiaTheme="minorEastAsia" w:hAnsi="Times" w:cs="Times"/>
                <w:color w:val="auto"/>
                <w:sz w:val="24"/>
                <w:szCs w:val="24"/>
              </w:rPr>
            </w:pPr>
            <w:r w:rsidRPr="009D73B7">
              <w:rPr>
                <w:rFonts w:ascii="Times" w:eastAsiaTheme="minorEastAsia" w:hAnsi="Times" w:cs="Times"/>
                <w:noProof/>
                <w:color w:val="auto"/>
                <w:sz w:val="24"/>
                <w:szCs w:val="24"/>
                <w:lang w:eastAsia="fr-FR"/>
              </w:rPr>
              <w:drawing>
                <wp:inline distT="0" distB="0" distL="0" distR="0" wp14:anchorId="78651AB6" wp14:editId="59BEA762">
                  <wp:extent cx="13970" cy="1397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66A47776"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A partir d’activités mises en œuvre dès la petite section. </w:t>
            </w:r>
          </w:p>
          <w:p w14:paraId="4E87E74C" w14:textId="77777777" w:rsidR="00477538" w:rsidRPr="009D73B7" w:rsidRDefault="00477538">
            <w:pPr>
              <w:widowControl w:val="0"/>
              <w:autoSpaceDE w:val="0"/>
              <w:autoSpaceDN w:val="0"/>
              <w:adjustRightInd w:val="0"/>
              <w:spacing w:after="240" w:line="300" w:lineRule="atLeast"/>
              <w:jc w:val="left"/>
              <w:rPr>
                <w:rFonts w:ascii="Times" w:eastAsiaTheme="minorEastAsia" w:hAnsi="Times" w:cs="Times"/>
                <w:color w:val="auto"/>
                <w:sz w:val="24"/>
                <w:szCs w:val="24"/>
              </w:rPr>
            </w:pPr>
            <w:r w:rsidRPr="009D73B7">
              <w:rPr>
                <w:rFonts w:ascii="Arial" w:eastAsiaTheme="minorEastAsia" w:hAnsi="Arial" w:cs="Arial"/>
                <w:color w:val="auto"/>
                <w:sz w:val="24"/>
                <w:szCs w:val="24"/>
              </w:rPr>
              <w:t xml:space="preserve">En prenant appui sur des activités au-delà de la petite section. </w:t>
            </w:r>
            <w:bookmarkStart w:id="0" w:name="_GoBack"/>
            <w:bookmarkEnd w:id="0"/>
          </w:p>
        </w:tc>
        <w:tc>
          <w:tcPr>
            <w:tcW w:w="1418" w:type="dxa"/>
            <w:vMerge/>
            <w:tcBorders>
              <w:top w:val="single" w:sz="10" w:space="0" w:color="55288B"/>
              <w:left w:val="single" w:sz="11" w:space="0" w:color="auto"/>
              <w:bottom w:val="single" w:sz="10" w:space="0" w:color="auto"/>
              <w:right w:val="single" w:sz="10" w:space="0" w:color="auto"/>
            </w:tcBorders>
            <w:tcMar>
              <w:top w:w="20" w:type="nil"/>
              <w:left w:w="20" w:type="nil"/>
              <w:bottom w:w="20" w:type="nil"/>
              <w:right w:w="20" w:type="nil"/>
            </w:tcMar>
            <w:vAlign w:val="center"/>
          </w:tcPr>
          <w:p w14:paraId="4EC12AFF" w14:textId="77777777" w:rsidR="00477538" w:rsidRPr="009D73B7" w:rsidRDefault="00477538">
            <w:pPr>
              <w:widowControl w:val="0"/>
              <w:autoSpaceDE w:val="0"/>
              <w:autoSpaceDN w:val="0"/>
              <w:adjustRightInd w:val="0"/>
              <w:jc w:val="left"/>
              <w:rPr>
                <w:rFonts w:ascii="Times" w:eastAsiaTheme="minorEastAsia" w:hAnsi="Times" w:cs="Times"/>
                <w:color w:val="auto"/>
                <w:sz w:val="24"/>
                <w:szCs w:val="24"/>
              </w:rPr>
            </w:pPr>
          </w:p>
        </w:tc>
      </w:tr>
    </w:tbl>
    <w:p w14:paraId="5AF9AD54" w14:textId="77777777" w:rsidR="00473E79" w:rsidRPr="009D73B7" w:rsidRDefault="00473E79" w:rsidP="00473E79">
      <w:pPr>
        <w:widowControl w:val="0"/>
        <w:autoSpaceDE w:val="0"/>
        <w:autoSpaceDN w:val="0"/>
        <w:adjustRightInd w:val="0"/>
        <w:spacing w:line="280" w:lineRule="atLeast"/>
        <w:jc w:val="left"/>
        <w:rPr>
          <w:rFonts w:ascii="Times" w:eastAsiaTheme="minorEastAsia" w:hAnsi="Times" w:cs="Times"/>
          <w:noProof/>
          <w:color w:val="auto"/>
          <w:sz w:val="24"/>
          <w:szCs w:val="24"/>
          <w:lang w:eastAsia="fr-FR"/>
        </w:rPr>
      </w:pPr>
    </w:p>
    <w:p w14:paraId="727884BD" w14:textId="65F1668A" w:rsidR="00477538" w:rsidRPr="009D73B7" w:rsidRDefault="0055447D" w:rsidP="00473E79">
      <w:pPr>
        <w:widowControl w:val="0"/>
        <w:autoSpaceDE w:val="0"/>
        <w:autoSpaceDN w:val="0"/>
        <w:adjustRightInd w:val="0"/>
        <w:spacing w:line="280" w:lineRule="atLeast"/>
        <w:jc w:val="left"/>
        <w:rPr>
          <w:rFonts w:ascii="Times" w:eastAsiaTheme="minorEastAsia" w:hAnsi="Times" w:cs="Times"/>
          <w:color w:val="auto"/>
          <w:sz w:val="24"/>
          <w:szCs w:val="24"/>
        </w:rPr>
      </w:pPr>
      <w:hyperlink r:id="rId9" w:history="1">
        <w:r w:rsidRPr="007D0126">
          <w:rPr>
            <w:rStyle w:val="Lienhypertexte"/>
            <w:rFonts w:ascii="Arial" w:eastAsiaTheme="minorEastAsia" w:hAnsi="Arial" w:cs="Arial"/>
            <w:sz w:val="24"/>
            <w:szCs w:val="24"/>
          </w:rPr>
          <w:t>http://eduscol.education.fr/ressources-maternelle</w:t>
        </w:r>
      </w:hyperlink>
      <w:r>
        <w:rPr>
          <w:rFonts w:ascii="Arial" w:eastAsiaTheme="minorEastAsia" w:hAnsi="Arial" w:cs="Arial"/>
          <w:color w:val="auto"/>
          <w:sz w:val="24"/>
          <w:szCs w:val="24"/>
        </w:rPr>
        <w:t xml:space="preserve"> </w:t>
      </w:r>
      <w:r w:rsidR="00477538" w:rsidRPr="009D73B7">
        <w:rPr>
          <w:rFonts w:ascii="Arial" w:eastAsiaTheme="minorEastAsia" w:hAnsi="Arial" w:cs="Arial"/>
          <w:color w:val="auto"/>
          <w:sz w:val="24"/>
          <w:szCs w:val="24"/>
        </w:rPr>
        <w:t xml:space="preserve"> </w:t>
      </w:r>
    </w:p>
    <w:sectPr w:rsidR="00477538" w:rsidRPr="009D73B7" w:rsidSect="008E29E4">
      <w:pgSz w:w="12240" w:h="15840"/>
      <w:pgMar w:top="1134" w:right="47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8"/>
    <w:rsid w:val="00251CA2"/>
    <w:rsid w:val="00473E79"/>
    <w:rsid w:val="00477538"/>
    <w:rsid w:val="0055447D"/>
    <w:rsid w:val="00633597"/>
    <w:rsid w:val="006B6FAD"/>
    <w:rsid w:val="007276F1"/>
    <w:rsid w:val="008E29E4"/>
    <w:rsid w:val="009D73B7"/>
    <w:rsid w:val="00A865EB"/>
    <w:rsid w:val="00D143D5"/>
    <w:rsid w:val="00E238D9"/>
    <w:rsid w:val="00F51A00"/>
    <w:rsid w:val="00FA2424"/>
    <w:rsid w:val="00FA5748"/>
    <w:rsid w:val="00FB3F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54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7"/>
    <w:pPr>
      <w:jc w:val="both"/>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7538"/>
    <w:rPr>
      <w:rFonts w:ascii="Lucida Grande" w:eastAsia="Times New Roman" w:hAnsi="Lucida Grande" w:cs="Lucida Grande"/>
      <w:sz w:val="18"/>
      <w:szCs w:val="18"/>
    </w:rPr>
  </w:style>
  <w:style w:type="character" w:styleId="Lienhypertexte">
    <w:name w:val="Hyperlink"/>
    <w:basedOn w:val="Policepardfaut"/>
    <w:uiPriority w:val="99"/>
    <w:unhideWhenUsed/>
    <w:rsid w:val="005544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7"/>
    <w:pPr>
      <w:jc w:val="both"/>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7538"/>
    <w:rPr>
      <w:rFonts w:ascii="Lucida Grande" w:eastAsia="Times New Roman" w:hAnsi="Lucida Grande" w:cs="Lucida Grande"/>
      <w:sz w:val="18"/>
      <w:szCs w:val="18"/>
    </w:rPr>
  </w:style>
  <w:style w:type="character" w:styleId="Lienhypertexte">
    <w:name w:val="Hyperlink"/>
    <w:basedOn w:val="Policepardfaut"/>
    <w:uiPriority w:val="99"/>
    <w:unhideWhenUsed/>
    <w:rsid w:val="00554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eduscol.education.fr/ressources-maternel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2088</Words>
  <Characters>11490</Characters>
  <Application>Microsoft Macintosh Word</Application>
  <DocSecurity>0</DocSecurity>
  <Lines>95</Lines>
  <Paragraphs>27</Paragraphs>
  <ScaleCrop>false</ScaleCrop>
  <Company>IEN Parthenay</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Teyssèdre</dc:creator>
  <cp:keywords/>
  <dc:description/>
  <cp:lastModifiedBy>Gilles Teyssèdre</cp:lastModifiedBy>
  <cp:revision>2</cp:revision>
  <dcterms:created xsi:type="dcterms:W3CDTF">2017-09-10T11:09:00Z</dcterms:created>
  <dcterms:modified xsi:type="dcterms:W3CDTF">2017-09-10T11:09:00Z</dcterms:modified>
</cp:coreProperties>
</file>