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200"/>
        <w:ind w:left="0" w:right="0" w:hanging="0"/>
        <w:jc w:val="center"/>
        <w:rPr>
          <w:sz w:val="32"/>
          <w:szCs w:val="32"/>
        </w:rPr>
      </w:pPr>
      <w:r>
        <w:rPr>
          <w:rFonts w:eastAsia="Arial" w:cs="Arial"/>
          <w:b/>
          <w:color w:val="00000A"/>
          <w:spacing w:val="0"/>
          <w:sz w:val="32"/>
          <w:szCs w:val="32"/>
          <w:shd w:fill="FFFF66" w:val="clear"/>
        </w:rPr>
        <w:t>Programmation de Cycle 2 – Domaine des Mathématiques</w:t>
      </w:r>
    </w:p>
    <w:tbl>
      <w:tblPr>
        <w:tblW w:w="14118" w:type="dxa"/>
        <w:jc w:val="left"/>
        <w:tblInd w:w="-1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847"/>
        <w:gridCol w:w="2841"/>
        <w:gridCol w:w="2718"/>
        <w:gridCol w:w="2841"/>
        <w:gridCol w:w="1871"/>
      </w:tblGrid>
      <w:tr>
        <w:trPr>
          <w:trHeight w:val="1" w:hRule="atLeast"/>
        </w:trPr>
        <w:tc>
          <w:tcPr>
            <w:tcW w:w="141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6D9F1" w:val="clear"/>
            <w:tcMar>
              <w:left w:w="103" w:type="dxa"/>
            </w:tcMar>
          </w:tcPr>
          <w:p>
            <w:pPr>
              <w:pStyle w:val="Normal"/>
              <w:shd w:fill="9999FF" w:val="clear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Arial" w:cs="Arial"/>
                <w:b/>
                <w:color w:val="00000A"/>
                <w:spacing w:val="0"/>
                <w:sz w:val="24"/>
                <w:szCs w:val="24"/>
              </w:rPr>
              <w:t>Nombres et calculs</w:t>
            </w:r>
          </w:p>
        </w:tc>
      </w:tr>
      <w:tr>
        <w:trPr>
          <w:trHeight w:val="1" w:hRule="atLeast"/>
        </w:trPr>
        <w:tc>
          <w:tcPr>
            <w:tcW w:w="141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D54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Arial" w:cs="Arial"/>
                <w:b/>
                <w:color w:val="00000A"/>
                <w:spacing w:val="0"/>
                <w:sz w:val="28"/>
              </w:rPr>
              <w:t>Attendus de fin de cycle</w:t>
            </w:r>
            <w:r>
              <w:rPr>
                <w:rFonts w:eastAsia="Arial" w:cs="Arial"/>
                <w:color w:val="00000A"/>
                <w:spacing w:val="0"/>
                <w:sz w:val="28"/>
              </w:rPr>
              <w:t> : Comprendre et utiliser des nombres entiers pour dénombrer, ordonner, repérer, comparer.</w:t>
            </w:r>
          </w:p>
        </w:tc>
      </w:tr>
      <w:tr>
        <w:trPr>
          <w:trHeight w:val="1" w:hRule="atLeast"/>
        </w:trPr>
        <w:tc>
          <w:tcPr>
            <w:tcW w:w="3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4970" w:leader="none"/>
                <w:tab w:val="left" w:pos="5396" w:leader="none"/>
              </w:tabs>
              <w:spacing w:lineRule="exact" w:line="276" w:before="0" w:after="0"/>
              <w:ind w:left="0" w:right="0" w:hanging="0"/>
              <w:jc w:val="left"/>
              <w:rPr>
                <w:color w:val="00000A"/>
                <w:spacing w:val="0"/>
                <w:highlight w:val="white"/>
              </w:rPr>
            </w:pPr>
            <w:r>
              <w:rPr>
                <w:rFonts w:eastAsia="Arial" w:cs="Arial"/>
                <w:b/>
                <w:color w:val="00000A"/>
                <w:spacing w:val="0"/>
                <w:sz w:val="24"/>
                <w:shd w:fill="FFFFFF" w:val="clear"/>
              </w:rPr>
              <w:t>Connaissances et  compétences associées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6D9F1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00000A"/>
                <w:spacing w:val="0"/>
                <w:highlight w:val="white"/>
              </w:rPr>
            </w:pPr>
            <w:r>
              <w:rPr>
                <w:rFonts w:eastAsia="Arial" w:cs="Arial"/>
                <w:b/>
                <w:color w:val="00000A"/>
                <w:spacing w:val="0"/>
                <w:sz w:val="24"/>
              </w:rPr>
              <w:t>Niveau 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8DB3E2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00000A"/>
                <w:spacing w:val="0"/>
                <w:highlight w:val="white"/>
              </w:rPr>
            </w:pPr>
            <w:r>
              <w:rPr>
                <w:rFonts w:eastAsia="Arial" w:cs="Arial"/>
                <w:b/>
                <w:color w:val="00000A"/>
                <w:spacing w:val="0"/>
                <w:sz w:val="24"/>
              </w:rPr>
              <w:t>Niveau 2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00000A"/>
                <w:spacing w:val="0"/>
                <w:highlight w:val="white"/>
              </w:rPr>
            </w:pPr>
            <w:r>
              <w:rPr>
                <w:rFonts w:eastAsia="Arial" w:cs="Arial"/>
                <w:b/>
                <w:color w:val="00000A"/>
                <w:spacing w:val="0"/>
                <w:sz w:val="24"/>
                <w:shd w:fill="FFFFFF" w:val="clear"/>
              </w:rPr>
              <w:t>Niveau 3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00000A"/>
                <w:spacing w:val="0"/>
                <w:highlight w:val="white"/>
              </w:rPr>
            </w:pPr>
            <w:r>
              <w:rPr>
                <w:rFonts w:eastAsia="Arial" w:cs="Arial"/>
                <w:b/>
                <w:color w:val="00000A"/>
                <w:spacing w:val="0"/>
                <w:sz w:val="24"/>
                <w:shd w:fill="FFFFFF" w:val="clear"/>
              </w:rPr>
              <w:t>Niveau dépassé</w:t>
            </w:r>
          </w:p>
        </w:tc>
      </w:tr>
      <w:tr>
        <w:trPr>
          <w:trHeight w:val="1" w:hRule="atLeast"/>
        </w:trPr>
        <w:tc>
          <w:tcPr>
            <w:tcW w:w="3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>Dénombrer, Constituer et comparer des collections.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 </w:t>
            </w: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Reconnaître visuellement une petite quantité (dés, mains, collections d’objets…)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Connaître la comptine numérique jusqu’à 100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Comparer des quantités / des nombres (&lt;, &gt;, =)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Ranger les nombres dans l’ordre croissant et décroissant 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Dénombrer jusqu’à 999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Constituer et comparer des collections jusqu’à 999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Reconnaître une quantité organisée en constellations ou sous forme de centaines, dizaines et unités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Savoir organiser les collections et désigner leurs nombres d’éléments sous différentes formes (écriture chiffrée, littérale, additive et en unités, dizaines et centaines)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Comparer des quantités / des nombres (&lt;, &gt;, =), encadrer et intercaler des nombres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>- Ranger les nombres dans l’ordre croissant et décroissant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Décomposer / recomposer un nombre inférieur à 9 999 sous forme de m, c, d, u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Comprendre les notions de m, c, d, u (valeur de position)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Comparer des quantités / des nombres (&lt;, &gt;, =), encadrer et intercaler des nombres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Ranger les nombres dans l’ordre croissant et décroissant 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0"/>
                <w:spacing w:val="0"/>
                <w:sz w:val="18"/>
                <w:shd w:fill="FFFFFF" w:val="clear"/>
              </w:rPr>
              <w:t xml:space="preserve">Nombres supérieurs à 9 999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Décomposer / recomposer un nombre supérieur à 9 999 sous forme de m, c, d, u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Comprendre les notions de m, c, d u (valeur de position)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Comparer des quantités / des nombres (&lt;, &gt;, =), encadrer et intercaler des nombres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Ranger les nombres dans l’ordre croissant et décroissant </w:t>
            </w:r>
          </w:p>
        </w:tc>
      </w:tr>
      <w:tr>
        <w:trPr>
          <w:trHeight w:val="1" w:hRule="atLeast"/>
        </w:trPr>
        <w:tc>
          <w:tcPr>
            <w:tcW w:w="3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b/>
                <w:b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>Utiliser diverses stratégies de dénombrement.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b/>
                <w:b/>
                <w:i/>
                <w:i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>*Procédures de dénombrement</w:t>
            </w:r>
            <w:r>
              <w:rPr>
                <w:rFonts w:eastAsia="Comic Sans MS" w:cs="Comic Sans MS" w:ascii="Comic Sans MS" w:hAnsi="Comic Sans MS"/>
                <w:b/>
                <w:i/>
                <w:color w:val="00000A"/>
                <w:spacing w:val="0"/>
                <w:sz w:val="18"/>
                <w:shd w:fill="FFFFFF" w:val="clear"/>
              </w:rPr>
              <w:t> :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b/>
                <w:b/>
                <w:i/>
                <w:i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i/>
                <w:color w:val="00000A"/>
                <w:spacing w:val="0"/>
                <w:sz w:val="18"/>
                <w:shd w:fill="FFFFFF" w:val="clear"/>
              </w:rPr>
              <w:t>Décomposition / recomposition additives ou multiplicatives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i/>
                <w:color w:val="00000A"/>
                <w:spacing w:val="0"/>
                <w:sz w:val="18"/>
                <w:shd w:fill="FFFFFF" w:val="clear"/>
              </w:rPr>
              <w:t>Utilisation d’unités intermédiaires : dizaines, centaines en relation ou non avec des groupements.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Compter de 2 en 2, de 5 en 5, de 10 en 10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Dénombrer de grandes collections en utilisant le groupement par 2 et 10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Décomposer des nombres en dizaines et unités 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Compter de 10 en 10 et de 100 en 100 (à l’endroit, à l’envers)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Dénombrer de grandes collections en utilisant le groupement par 10 et par 100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Décomposer des nombres en centaines, dizaines et unités 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Compter de 100 en 100 et de 1 000 en 1 000 (à l’endroit, à l’envers)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Associer les différentes représentations des nombres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Décomposition / recomposition additive et multiplicative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des nombres en centaines, dizaines et unités 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Compter de 100 en 100 et de 1 000 en 1 000 (à l’endroit, à l’envers)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Associer les différentes représentations des nombres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Décomposition / recomposition additive et multiplicative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des nombres en centaines, dizaines et unités </w:t>
            </w:r>
          </w:p>
        </w:tc>
      </w:tr>
      <w:tr>
        <w:trPr>
          <w:trHeight w:val="1" w:hRule="atLeast"/>
        </w:trPr>
        <w:tc>
          <w:tcPr>
            <w:tcW w:w="3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>Repérer un rang ou une position dans une file ou sur une piste.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Repérer un rang sur une file (manipulation : bande numérique, jeu de l’oie)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Situer un nombre sur la bande numérique en utilisant les repères 5, 10, 15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Repérer un rang ou une position sur une bande numérique ou sur une piste 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Repérer un rang sur une file (schématisation)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Relation entre ordinaux et cardinaux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Faire le lien entre le rang dans une liste et le nombre d’éléments qui le précède 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Repérer un rang sur une file, sur une bande et sur une droite numérique graduée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Faire le lien entre le rang dans une liste et le nombre d’éléments qui le précède 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0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 xml:space="preserve">- Repérer un rang sur une droite numérique graduée (avec une unité plus petite)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0"/>
                <w:spacing w:val="0"/>
                <w:sz w:val="18"/>
                <w:shd w:fill="FFFFFF" w:val="clear"/>
              </w:rPr>
              <w:t>- Faire le lien entre le rang dans une liste et le nombre d’éléments qui le précède</w:t>
            </w:r>
          </w:p>
        </w:tc>
      </w:tr>
      <w:tr>
        <w:trPr>
          <w:trHeight w:val="1" w:hRule="atLeast"/>
        </w:trPr>
        <w:tc>
          <w:tcPr>
            <w:tcW w:w="3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b/>
                <w:b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>Faire le lien entre le rang dans une liste et le nombre d’éléments qui le précèdent.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b/>
                <w:b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>*Relation entre ordinaux et cardinaux.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b/>
                <w:b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>Comparer, ranger, encadrer, intercaler des nombres entiers en utilisant les symboles =, ≠, &gt;, &lt;.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b/>
                <w:b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>*Egalité traduisant l’équivalence de deux désignations du même nombre.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b/>
                <w:b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>*Ordre.</w:t>
            </w:r>
          </w:p>
          <w:p>
            <w:pPr>
              <w:pStyle w:val="Normal"/>
              <w:spacing w:lineRule="exact" w:line="276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>*Sens des symboles =, ≠, &gt;, &lt;.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>-Plus que/moins que/autant que</w:t>
            </w: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 : Correspondance terme à terme ( situation maxibille/minibille)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-Se servir des groupements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(comparer des « sous-collection » --&gt; dans la boîte picbille 7 se représente par 5 et 2)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-Différencier le comptage numérotage et comptage dénombrement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Dans une file repérer la position d'un nombre et déterminer la quantité précédente.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 Repérer avec les écritures chiffrées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shd w:fill="FFFFFF" w:val="clear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-nbres à 2 chiffres : comparer en s’appuyant sur la position des chiffres (de gauche  à droite)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 xml:space="preserve">-Placer, intercaler un nombre </w:t>
            </w: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 xml:space="preserve">entre </w:t>
            </w: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sur une</w:t>
            </w:r>
            <w:r>
              <w:rPr>
                <w:rFonts w:eastAsia="Comic Sans MS" w:cs="Comic Sans MS" w:ascii="Comic Sans MS" w:hAnsi="Comic Sans MS"/>
                <w:b/>
                <w:color w:val="00000A"/>
                <w:spacing w:val="0"/>
                <w:sz w:val="18"/>
                <w:shd w:fill="FFFFFF" w:val="clear"/>
              </w:rPr>
              <w:t xml:space="preserve"> </w:t>
            </w: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 xml:space="preserve">série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-utilisation des symboles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-comparer des écritures différentes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-comparer ranger de3 à 4 nbres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-ranger nombres par ordre croissant /décroissant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 situer un nombre sur une ligne graduée de 1 en 1,de 10 en 10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shd w:fill="FFFFFF" w:val="clear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-Ecrire des encadrements entre 2 dizaines</w:t>
            </w:r>
          </w:p>
        </w:tc>
        <w:tc>
          <w:tcPr>
            <w:tcW w:w="2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 Situations identiques avec des nombres allant jusqu'à 9999.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highlight w:val="white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  <w:t>- Aller vers une valeur positionnelle en utilisant des groupements itérés ( exemple: jeu de la puce de capmath)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Comic Sans MS" w:hAnsi="Comic Sans MS" w:eastAsia="Comic Sans MS" w:cs="Comic Sans MS"/>
                <w:color w:val="00000A"/>
                <w:spacing w:val="0"/>
                <w:sz w:val="18"/>
                <w:shd w:fill="FFFFFF" w:val="clear"/>
              </w:rPr>
            </w:pPr>
            <w:r>
              <w:rPr>
                <w:rFonts w:eastAsia="Comic Sans MS" w:cs="Comic Sans MS" w:ascii="Comic Sans MS" w:hAnsi="Comic Sans MS"/>
                <w:color w:val="00000A"/>
                <w:spacing w:val="0"/>
                <w:sz w:val="18"/>
                <w:shd w:fill="FFFFFF" w:val="clear"/>
              </w:rPr>
            </w:r>
          </w:p>
        </w:tc>
      </w:tr>
    </w:tbl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orient="landscape" w:w="15840" w:h="12240"/>
      <w:pgMar w:left="1800" w:right="1800" w:header="0" w:top="476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Comic Sans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5"/>
  <w:defaultTabStop w:val="737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Lucida 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Arial" w:hAnsi="Arial" w:eastAsia="SimSun" w:cs="Lucida 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Arial" w:hAnsi="Arial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LibreOffice/5.2.5.1$Windows_x86 LibreOffice_project/0312e1a284a7d50ca85a365c316c7abbf20a4d22</Application>
  <Pages>2</Pages>
  <Words>800</Words>
  <Characters>3992</Characters>
  <CharactersWithSpaces>4758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2017-10-22T00:16:31Z</dcterms:modified>
  <cp:revision>1</cp:revision>
  <dc:subject/>
  <dc:title/>
</cp:coreProperties>
</file>